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Благоустройство общественной</w:t>
      </w:r>
      <w:r w:rsidRPr="00F14EF2">
        <w:rPr>
          <w:rFonts w:ascii="Liberation Serif" w:hAnsi="Liberation Serif" w:cs="Liberation Serif"/>
          <w:noProof/>
          <w:sz w:val="22"/>
          <w:szCs w:val="22"/>
        </w:rPr>
        <w:t xml:space="preserve"> территории городского округа Верхняя Пышма ''Парк-сквер ''Патриот'' пос. Красный''</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253660601895266860100100380014299244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(Муниципальный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МУНИЦИПАЛЬНОЕ КАЗЕННОЕ</w:t>
            </w:r>
            <w:r w:rsidRPr="002A08AA">
              <w:rPr>
                <w:rFonts w:ascii="Liberation Serif" w:hAnsi="Liberation Serif" w:cs="Liberation Serif"/>
                <w:szCs w:val="22"/>
                <w:lang w:val="en-US"/>
              </w:rPr>
              <w:t xml:space="preserve"> УЧРЕЖДЕНИЕ ''УПРАВЛЕНИЕ КАПИТАЛЬНОГО СТРОИТЕЛЬСТВА И ЖИЛИЩНО-КОММУНАЛЬНОГО ХОЗЯЙСТВА ГОРОДСКОГО ОКРУГА ВЕРХНЯЯ ПЫШМА''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624097, СВЕРДЛОВСКАЯ</w:t>
            </w:r>
            <w:r>
              <w:rPr>
                <w:rFonts w:ascii="Liberation Serif" w:hAnsi="Liberation Serif" w:cs="Liberation Serif"/>
                <w:szCs w:val="22"/>
                <w:lang w:val="en-US"/>
              </w:rPr>
              <w:t xml:space="preserve"> ОБЛАСТЬ, г.о. ВЕРХНЯЯ ПЫШМА, Г ВЕРХНЯЯ ПЫШМА, ПР-КТ УСПЕНСКИЙ, ЗД. 115</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624097, СВЕРДЛОВСКАЯ</w:t>
            </w:r>
            <w:r>
              <w:rPr>
                <w:rFonts w:ascii="Liberation Serif" w:hAnsi="Liberation Serif" w:cs="Liberation Serif"/>
                <w:szCs w:val="22"/>
                <w:lang w:val="en-US"/>
              </w:rPr>
              <w:t xml:space="preserve"> ОБЛАСТЬ, г.о. ВЕРХНЯЯ ПЫШМА, Г ВЕРХНЯЯ ПЫШМА, ПР-КТ УСПЕНСКИЙ, ЗД. 115</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8-34368-40487-1635</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volhinanm@movp</w:t>
            </w:r>
            <w:r>
              <w:rPr>
                <w:rFonts w:ascii="Liberation Serif" w:hAnsi="Liberation Serif" w:cs="Liberation Serif"/>
                <w:szCs w:val="22"/>
                <w:lang w:val="en-US"/>
              </w:rPr>
              <w:t>.ru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Вольхина Наталья</w:t>
            </w:r>
            <w:r>
              <w:rPr>
                <w:rFonts w:ascii="Liberation Serif" w:hAnsi="Liberation Serif" w:cs="Liberation Serif"/>
                <w:szCs w:val="22"/>
                <w:lang w:val="en-US"/>
              </w:rPr>
              <w:t xml:space="preserve"> Михайловна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1976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МУНИЦИПАЛЬНОЕ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КАЗЕННОЕ</w:t>
                  </w:r>
                  <w:r w:rsidRPr="009D3ACB">
                    <w:rPr>
                      <w:rFonts w:ascii="Liberation Serif" w:hAnsi="Liberation Serif" w:cs="Liberation Serif"/>
                      <w:lang w:val="en-US"/>
                    </w:rPr>
                    <w:t xml:space="preserve"> УЧРЕЖДЕНИЕ ''УПРАВЛЕНИЕ КАПИТАЛЬНОГО СТРОИТЕЛЬСТВА И ЖИЛИЩНО-КОММУНАЛЬНОГО ХОЗЯЙСТВА ГОРОДСКОГО ОКРУГА ВЕРХНЯЯ ПЫШМА''</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6606018952</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668601001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05623D13490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03232643657320006200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bookmarkStart w:id="4" w:name="_GoBack"/>
            <w:bookmarkEnd w:id="4"/>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5" w:name="small_owner"/>
      <w:bookmarkEnd w:id="5"/>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00581EBD"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5E435A" w:rsidP="0011044D">
            <w:pPr>
              <w:ind w:firstLine="709"/>
              <w:jc w:val="both"/>
              <w:rPr>
                <w:rFonts w:ascii="Liberation Serif" w:hAnsi="Liberation Serif" w:cs="Liberation Serif"/>
                <w:noProof/>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1) до окончания срока подачи заявок на участие в закупке;</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2A5E16" w:rsidRPr="002A5E16"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Сведения, которые включаются в заявку на участие в закупке, не должны допускать двусмысленных толкований.</w:t>
            </w:r>
          </w:p>
          <w:p w:rsidR="001B63DE" w:rsidRPr="00AF03D2" w:rsidP="002A5E16">
            <w:pPr>
              <w:ind w:firstLine="567"/>
              <w:jc w:val="both"/>
              <w:rPr>
                <w:rFonts w:ascii="Liberation Serif" w:hAnsi="Liberation Serif" w:cs="Liberation Serif"/>
                <w:sz w:val="22"/>
                <w:szCs w:val="22"/>
              </w:rPr>
            </w:pPr>
            <w:r w:rsidRPr="002A5E16">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r w:rsidRPr="00AF03D2">
              <w:rPr>
                <w:rFonts w:ascii="Liberation Serif" w:hAnsi="Liberation Serif" w:cs="Liberation Serif"/>
                <w:sz w:val="22"/>
                <w:szCs w:val="22"/>
              </w:rPr>
              <w:t>.</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w:t>
            </w:r>
            <w:r w:rsidRPr="00F14EF2">
              <w:rPr>
                <w:rFonts w:ascii="Liberation Serif" w:hAnsi="Liberation Serif" w:cs="Liberation Serif"/>
                <w:sz w:val="22"/>
                <w:szCs w:val="22"/>
              </w:rPr>
              <w:t>(если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noProof/>
                <w:sz w:val="22"/>
                <w:szCs w:val="22"/>
              </w:rPr>
              <w:t>Не 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2E58A9" w:rsidRPr="00F14EF2" w:rsidP="002E58A9">
            <w:pPr>
              <w:suppressLineNumbers/>
              <w:jc w:val="both"/>
              <w:rPr>
                <w:rFonts w:ascii="Liberation Serif" w:hAnsi="Liberation Serif" w:cs="Liberation Serif"/>
                <w:bCs/>
                <w:sz w:val="22"/>
                <w:szCs w:val="22"/>
              </w:rPr>
            </w:pP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ДОПОЛНИТЕЛЬНЫЕ ТРЕБОВАНИЯ</w:t>
            </w: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К УЧАСТНИКАМ ЗАКУПКИ ОТДЕЛЬНЫХ ВИДОВ ТОВАРОВ, РАБОТ, УСЛУГ,</w:t>
            </w:r>
          </w:p>
          <w:p w:rsidR="00A1024B" w:rsidRPr="00A1024B"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УЧАСТНИКАМ ОТДЕЛЬНЫХ ВИДОВ ЗАКУПОК ТОВАРОВ, РАБОТ, УСЛУГ</w:t>
            </w:r>
          </w:p>
          <w:p w:rsidR="00A6707D" w:rsidRPr="00F14EF2" w:rsidP="00A1024B">
            <w:pPr>
              <w:suppressLineNumbers/>
              <w:jc w:val="center"/>
              <w:rPr>
                <w:rFonts w:ascii="Liberation Serif" w:hAnsi="Liberation Serif" w:cs="Liberation Serif"/>
                <w:bCs/>
                <w:sz w:val="22"/>
                <w:szCs w:val="22"/>
              </w:rPr>
            </w:pPr>
            <w:r w:rsidRPr="00A1024B">
              <w:rPr>
                <w:rFonts w:ascii="Liberation Serif" w:hAnsi="Liberation Serif" w:cs="Liberation Serif"/>
                <w:bCs/>
                <w:sz w:val="22"/>
                <w:szCs w:val="22"/>
              </w:rPr>
              <w:t>ДЛЯ ОБЕСПЕЧЕНИЯ ГОСУДАРСТВЕННЫХ И МУНИЦИПАЛЬНЫХ НУЖД</w:t>
            </w:r>
          </w:p>
          <w:p w:rsidR="00A6707D" w:rsidRPr="00F14EF2" w:rsidP="00A6707D">
            <w:pPr>
              <w:suppressLineNumbers/>
              <w:jc w:val="center"/>
              <w:rPr>
                <w:rFonts w:ascii="Liberation Serif" w:hAnsi="Liberation Serif" w:cs="Liberation Serif"/>
                <w:bCs/>
                <w:sz w:val="22"/>
                <w:szCs w:val="22"/>
              </w:rPr>
            </w:pPr>
            <w:r w:rsidRPr="00F14EF2">
              <w:rPr>
                <w:rFonts w:ascii="Liberation Serif" w:hAnsi="Liberation Serif" w:cs="Liberation Serif"/>
                <w:bCs/>
                <w:sz w:val="22"/>
                <w:szCs w:val="22"/>
              </w:rPr>
              <w:t>(Приложение к ПП РФ от 29 декабря 2021 г. №2571)</w:t>
            </w:r>
          </w:p>
          <w:p w:rsidR="004851C1" w:rsidRPr="00F14EF2" w:rsidP="00A6707D">
            <w:pPr>
              <w:suppressLineNumbers/>
              <w:jc w:val="center"/>
              <w:rPr>
                <w:rFonts w:ascii="Liberation Serif" w:hAnsi="Liberation Serif" w:cs="Liberation Serif"/>
                <w:bCs/>
                <w:sz w:val="22"/>
                <w:szCs w:val="22"/>
              </w:rPr>
            </w:pPr>
          </w:p>
          <w:tbl>
            <w:tblPr>
              <w:tblStyle w:val="TableGrid"/>
              <w:tblW w:w="14286" w:type="dxa"/>
              <w:jc w:val="center"/>
              <w:tblBorders>
                <w:left w:val="none" w:sz="0" w:space="0" w:color="auto"/>
                <w:right w:val="none" w:sz="0" w:space="0" w:color="auto"/>
              </w:tblBorders>
              <w:tblLook w:val="04A0"/>
            </w:tblPr>
            <w:tblGrid>
              <w:gridCol w:w="4936"/>
              <w:gridCol w:w="4608"/>
              <w:gridCol w:w="4742"/>
            </w:tblGrid>
            <w:tr w:rsidTr="00E86057">
              <w:tblPrEx>
                <w:tblW w:w="14286" w:type="dxa"/>
                <w:jc w:val="center"/>
                <w:tblBorders>
                  <w:left w:val="none" w:sz="0" w:space="0" w:color="auto"/>
                  <w:right w:val="none" w:sz="0" w:space="0" w:color="auto"/>
                </w:tblBorders>
                <w:tblLook w:val="04A0"/>
              </w:tblPrEx>
              <w:trPr>
                <w:trHeight w:val="1558"/>
                <w:jc w:val="center"/>
              </w:trPr>
              <w:tc>
                <w:tcPr>
                  <w:tcW w:w="4936" w:type="dxa"/>
                </w:tcPr>
                <w:p w:rsidR="004851C1" w:rsidRPr="00F14EF2" w:rsidP="00A6707D">
                  <w:pPr>
                    <w:suppressLineNumbers/>
                    <w:jc w:val="center"/>
                    <w:rPr>
                      <w:rFonts w:ascii="Liberation Serif" w:hAnsi="Liberation Serif" w:cs="Liberation Serif"/>
                      <w:bCs/>
                      <w:sz w:val="22"/>
                      <w:szCs w:val="22"/>
                    </w:rPr>
                  </w:pPr>
                  <w:r w:rsidRPr="00B83F6C">
                    <w:rPr>
                      <w:rFonts w:ascii="Liberation Serif" w:hAnsi="Liberation Serif" w:cs="Liberation Serif"/>
                      <w:bCs/>
                      <w:i/>
                      <w:sz w:val="22"/>
                      <w:szCs w:val="22"/>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4608" w:type="dxa"/>
                </w:tcPr>
                <w:p w:rsidR="004851C1" w:rsidRPr="00F14EF2" w:rsidP="004851C1">
                  <w:pPr>
                    <w:suppressLineNumbers/>
                    <w:jc w:val="center"/>
                    <w:rPr>
                      <w:rFonts w:ascii="Liberation Serif" w:hAnsi="Liberation Serif" w:cs="Liberation Serif"/>
                      <w:bCs/>
                      <w:i/>
                      <w:sz w:val="22"/>
                      <w:szCs w:val="22"/>
                    </w:rPr>
                  </w:pPr>
                  <w:r w:rsidRPr="00F14EF2">
                    <w:rPr>
                      <w:rFonts w:ascii="Liberation Serif" w:hAnsi="Liberation Serif" w:cs="Liberation Serif"/>
                      <w:bCs/>
                      <w:i/>
                      <w:sz w:val="22"/>
                      <w:szCs w:val="22"/>
                    </w:rPr>
                    <w:t>Дополнительные требования  к участникам закупки:</w:t>
                  </w:r>
                </w:p>
                <w:p w:rsidR="004851C1" w:rsidRPr="00F14EF2" w:rsidP="00A6707D">
                  <w:pPr>
                    <w:suppressLineNumbers/>
                    <w:jc w:val="center"/>
                    <w:rPr>
                      <w:rFonts w:ascii="Liberation Serif" w:hAnsi="Liberation Serif" w:cs="Liberation Serif"/>
                      <w:bCs/>
                      <w:sz w:val="22"/>
                      <w:szCs w:val="22"/>
                    </w:rPr>
                  </w:pPr>
                </w:p>
              </w:tc>
              <w:tc>
                <w:tcPr>
                  <w:tcW w:w="4742" w:type="dxa"/>
                </w:tcPr>
                <w:p w:rsidR="004851C1" w:rsidRPr="00F14EF2" w:rsidP="004851C1">
                  <w:pPr>
                    <w:suppressLineNumbers/>
                    <w:jc w:val="center"/>
                    <w:rPr>
                      <w:rFonts w:ascii="Liberation Serif" w:hAnsi="Liberation Serif" w:cs="Liberation Serif"/>
                      <w:bCs/>
                      <w:sz w:val="22"/>
                      <w:szCs w:val="22"/>
                    </w:rPr>
                  </w:pPr>
                  <w:r w:rsidRPr="00F14EF2">
                    <w:rPr>
                      <w:rFonts w:ascii="Liberation Serif" w:hAnsi="Liberation Serif" w:cs="Liberation Serif"/>
                      <w:bCs/>
                      <w:i/>
                      <w:sz w:val="22"/>
                      <w:szCs w:val="22"/>
                    </w:rPr>
                    <w:t>Информация и документы, подтверждающие соответствие участников закупки дополнительным требованиям:</w:t>
                  </w:r>
                </w:p>
              </w:tc>
            </w:tr>
            <w:tr w:rsidTr="00E86057">
              <w:tblPrEx>
                <w:tblW w:w="14286" w:type="dxa"/>
                <w:jc w:val="center"/>
                <w:tblLook w:val="04A0"/>
              </w:tblPrEx>
              <w:trPr>
                <w:trHeight w:val="920"/>
                <w:jc w:val="center"/>
              </w:trPr>
              <w:tc>
                <w:tcPr>
                  <w:tcW w:w="4936" w:type="dxa"/>
                </w:tcPr>
                <w:p w:rsidR="004851C1" w:rsidRPr="00F14EF2" w:rsidP="00F768BB">
                  <w:pPr>
                    <w:suppressLineNumbers/>
                    <w:rPr>
                      <w:rFonts w:ascii="Liberation Serif" w:hAnsi="Liberation Serif" w:cs="Liberation Serif"/>
                      <w:bCs/>
                      <w:sz w:val="22"/>
                      <w:szCs w:val="22"/>
                    </w:rPr>
                  </w:pPr>
                  <w:r w:rsidRPr="00F14EF2">
                    <w:rPr>
                      <w:rFonts w:ascii="Liberation Serif" w:hAnsi="Liberation Serif" w:cs="Liberation Serif"/>
                      <w:bCs/>
                      <w:noProof/>
                      <w:sz w:val="22"/>
                      <w:szCs w:val="22"/>
                    </w:rPr>
                    <w:t>Работы по строительству</w:t>
                  </w:r>
                  <w:r w:rsidRPr="00F14EF2">
                    <w:rPr>
                      <w:rFonts w:ascii="Liberation Serif" w:hAnsi="Liberation Serif" w:cs="Liberation Serif"/>
                      <w:bCs/>
                      <w:noProof/>
                      <w:sz w:val="22"/>
                      <w:szCs w:val="22"/>
                    </w:rPr>
                    <w:t xml:space="preserve"> некапитального строения, сооружения (строений, сооружений), благоустройству территории</w:t>
                  </w:r>
                </w:p>
              </w:tc>
              <w:tc>
                <w:tcPr>
                  <w:tcW w:w="4608" w:type="dxa"/>
                </w:tcPr>
                <w:p w:rsidR="00316A0C" w:rsidP="00F768BB">
                  <w:pPr>
                    <w:suppressLineNumbers/>
                    <w:rPr>
                      <w:rFonts w:ascii="Liberation Serif" w:hAnsi="Liberation Serif" w:cs="Liberation Serif"/>
                      <w:bCs/>
                      <w:noProof/>
                      <w:sz w:val="22"/>
                      <w:szCs w:val="22"/>
                    </w:rPr>
                  </w:pPr>
                  <w:r>
                    <w:rPr>
                      <w:rFonts w:ascii="Liberation Serif" w:hAnsi="Liberation Serif" w:cs="Liberation Serif"/>
                      <w:bCs/>
                      <w:noProof/>
                      <w:sz w:val="22"/>
                      <w:szCs w:val="22"/>
                    </w:rPr>
                    <w:t>С</w:t>
                  </w:r>
                  <w:r w:rsidRPr="007D08A6">
                    <w:rPr>
                      <w:rFonts w:ascii="Liberation Serif" w:hAnsi="Liberation Serif" w:cs="Liberation Serif"/>
                      <w:bCs/>
                      <w:noProof/>
                      <w:sz w:val="22"/>
                      <w:szCs w:val="22"/>
                    </w:rPr>
                    <w:t>оответствие участника закупки одному из следующих требований:</w:t>
                  </w:r>
                </w:p>
                <w:p w:rsidR="00316A0C" w:rsidP="00F768BB">
                  <w:pPr>
                    <w:suppressLineNumbers/>
                    <w:rPr>
                      <w:rFonts w:ascii="Liberation Serif" w:hAnsi="Liberation Serif" w:cs="Liberation Serif"/>
                      <w:bCs/>
                      <w:noProof/>
                      <w:sz w:val="22"/>
                      <w:szCs w:val="22"/>
                    </w:rPr>
                  </w:pP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наличие у участника закупки</w:t>
                  </w:r>
                  <w:r w:rsidRPr="00F14EF2">
                    <w:rPr>
                      <w:rFonts w:ascii="Liberation Serif" w:hAnsi="Liberation Serif" w:cs="Liberation Serif"/>
                      <w:bCs/>
                      <w:noProof/>
                      <w:sz w:val="22"/>
                      <w:szCs w:val="22"/>
                    </w:rPr>
                    <w:t xml:space="preserve"> одного из следующих видов опыта выполнения работ:</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том числе линейного объекта);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3) опыт выполнения участником закупки, являющимся застройщиком, работ по строительству, реконструкции объекта капитального строительства</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том числе линейного объекта).</w:t>
                  </w: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316A0C" w:rsidP="00F768BB">
                  <w:pPr>
                    <w:suppressLineNumbers/>
                    <w:rPr>
                      <w:rFonts w:ascii="Liberation Serif" w:hAnsi="Liberation Serif" w:cs="Liberation Serif"/>
                      <w:bCs/>
                      <w:noProof/>
                      <w:sz w:val="22"/>
                      <w:szCs w:val="22"/>
                    </w:rPr>
                  </w:pPr>
                </w:p>
                <w:p w:rsidR="002E7AFC" w:rsidRPr="00F14EF2" w:rsidP="002E7AFC">
                  <w:pPr>
                    <w:suppressLineNumbers/>
                    <w:rPr>
                      <w:rFonts w:ascii="Liberation Serif" w:hAnsi="Liberation Serif" w:cs="Liberation Serif"/>
                      <w:bCs/>
                      <w:sz w:val="22"/>
                      <w:szCs w:val="22"/>
                    </w:rPr>
                  </w:pPr>
                </w:p>
              </w:tc>
              <w:tc>
                <w:tcPr>
                  <w:tcW w:w="4742" w:type="dxa"/>
                </w:tcPr>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случае наличия</w:t>
                  </w:r>
                  <w:r w:rsidRPr="00F14EF2">
                    <w:rPr>
                      <w:rFonts w:ascii="Liberation Serif" w:hAnsi="Liberation Serif" w:cs="Liberation Serif"/>
                      <w:bCs/>
                      <w:noProof/>
                      <w:sz w:val="22"/>
                      <w:szCs w:val="22"/>
                    </w:rPr>
                    <w:t xml:space="preserve"> опыта, предусмотренного пунктом 1 графы ''Дополнительные требования к участникам закупки'' настоящей позиции: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исполненный договор;</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акт выполненных работ, подтверждающий цену выполненных работ.</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случае наличия опыта, предусмотренного пунктом 2 графы ''Дополнительные требования к участникам закупки'' настоящей позиции: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исполненный договор;</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пятым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В случае наличия опыта, предусмотренного пунктом 3 графы ''Дополнительные требования к участникам закупки'' настоящей позиции:</w:t>
                  </w:r>
                </w:p>
                <w:p w:rsidRPr="00F14EF2"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1) раздел ''Смета на строительство, реконструкцию, капитальный ремонт, снос объекта капитального строительства'' проектной документации;</w:t>
                  </w:r>
                </w:p>
                <w:p w:rsidR="004851C1" w:rsidP="00F768BB">
                  <w:pPr>
                    <w:suppressLineNumbers/>
                    <w:rPr>
                      <w:rFonts w:ascii="Liberation Serif" w:hAnsi="Liberation Serif" w:cs="Liberation Serif"/>
                      <w:bCs/>
                      <w:noProof/>
                      <w:sz w:val="22"/>
                      <w:szCs w:val="22"/>
                    </w:rPr>
                  </w:pPr>
                  <w:r w:rsidRPr="00F14EF2">
                    <w:rPr>
                      <w:rFonts w:ascii="Liberation Serif" w:hAnsi="Liberation Serif" w:cs="Liberation Serif"/>
                      <w:bCs/>
                      <w:noProof/>
                      <w:sz w:val="22"/>
                      <w:szCs w:val="22"/>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604F08" w:rsidRPr="00F14EF2" w:rsidP="00F768BB">
                  <w:pPr>
                    <w:suppressLineNumbers/>
                    <w:rPr>
                      <w:rFonts w:ascii="Liberation Serif" w:hAnsi="Liberation Serif" w:cs="Liberation Serif"/>
                      <w:bCs/>
                      <w:sz w:val="22"/>
                      <w:szCs w:val="22"/>
                    </w:rPr>
                  </w:pPr>
                </w:p>
              </w:tc>
            </w:tr>
          </w:tbl>
          <w:p w:rsidRPr="00F14EF2" w:rsidP="00E86057">
            <w:pPr>
              <w:suppressLineNumbers/>
              <w:ind w:left="708"/>
              <w:jc w:val="both"/>
              <w:rPr>
                <w:rFonts w:ascii="Liberation Serif" w:hAnsi="Liberation Serif" w:cs="Liberation Serif"/>
                <w:bCs/>
                <w:sz w:val="22"/>
                <w:szCs w:val="22"/>
              </w:rPr>
            </w:pPr>
            <w:r w:rsidRPr="00F14EF2" w:rsidR="00085DCF">
              <w:rPr>
                <w:rFonts w:ascii="Liberation Serif" w:hAnsi="Liberation Serif" w:cs="Liberation Serif"/>
                <w:bCs/>
                <w:sz w:val="22"/>
                <w:szCs w:val="22"/>
              </w:rPr>
              <w:t>Если предусмотренные в графе ''Информация и документы, подтверждающие соответствие участников закупки дополнительным требованиям''</w:t>
            </w:r>
            <w:r w:rsidRPr="00F14EF2" w:rsidR="00085DCF">
              <w:rPr>
                <w:rFonts w:ascii="Liberation Serif" w:hAnsi="Liberation Serif" w:cs="Liberation Serif"/>
                <w:sz w:val="22"/>
                <w:szCs w:val="22"/>
              </w:rPr>
              <w:t xml:space="preserve"> </w:t>
            </w:r>
            <w:r w:rsidRPr="00F14EF2" w:rsidR="00085DCF">
              <w:rPr>
                <w:rFonts w:ascii="Liberation Serif" w:hAnsi="Liberation Serif" w:cs="Liberation Serif"/>
                <w:bCs/>
                <w:sz w:val="22"/>
                <w:szCs w:val="22"/>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F14EF2" w:rsidR="00085DCF">
              <w:rPr>
                <w:rFonts w:ascii="Liberation Serif" w:hAnsi="Liberation Serif" w:cs="Liberation Serif"/>
                <w:sz w:val="22"/>
                <w:szCs w:val="22"/>
              </w:rPr>
              <w:t>''</w:t>
            </w:r>
            <w:r w:rsidRPr="00F14EF2" w:rsidR="00085DCF">
              <w:rPr>
                <w:rFonts w:ascii="Liberation Serif" w:hAnsi="Liberation Serif" w:cs="Liberation Serif"/>
                <w:bCs/>
                <w:sz w:val="22"/>
                <w:szCs w:val="22"/>
              </w:rPr>
              <w:t>Интернет</w:t>
            </w:r>
            <w:r w:rsidRPr="00F14EF2" w:rsidR="00085DCF">
              <w:rPr>
                <w:rFonts w:ascii="Liberation Serif" w:hAnsi="Liberation Serif" w:cs="Liberation Serif"/>
                <w:sz w:val="22"/>
                <w:szCs w:val="22"/>
              </w:rPr>
              <w:t>''</w:t>
            </w:r>
            <w:r w:rsidRPr="00F14EF2" w:rsidR="00085DCF">
              <w:rPr>
                <w:rFonts w:ascii="Liberation Serif" w:hAnsi="Liberation Serif" w:cs="Liberation Serif"/>
                <w:bCs/>
                <w:sz w:val="22"/>
                <w:szCs w:val="22"/>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D82099" w:rsidRPr="00F14EF2" w:rsidP="00F91C76">
            <w:pPr>
              <w:suppressLineNumbers/>
              <w:jc w:val="both"/>
              <w:rPr>
                <w:rFonts w:ascii="Liberation Serif" w:hAnsi="Liberation Serif" w:cs="Liberation Serif"/>
                <w:bCs/>
                <w:sz w:val="22"/>
                <w:szCs w:val="22"/>
              </w:rPr>
            </w:pP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158">
    <w:pPr>
      <w:pStyle w:val="Header"/>
      <w:jc w:val="center"/>
    </w:pPr>
    <w:r>
      <w:fldChar w:fldCharType="begin"/>
    </w:r>
    <w:r>
      <w:instrText>PAGE   \* MERGEFORMAT</w:instrText>
    </w:r>
    <w:r>
      <w:fldChar w:fldCharType="separate"/>
    </w:r>
    <w:r>
      <w:rPr>
        <w:noProof/>
      </w:rPr>
      <w:t>7</w:t>
    </w:r>
    <w:r>
      <w:fldChar w:fldCharType="end"/>
    </w:r>
  </w:p>
  <w:p w:rsidR="00524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A4A6-591B-4BED-B72E-052239D8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3649</TotalTime>
  <Pages>7</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49</cp:revision>
  <cp:lastPrinted>2023-04-18T09:53:00Z</cp:lastPrinted>
  <dcterms:created xsi:type="dcterms:W3CDTF">2025-01-16T08:36:00Z</dcterms:created>
  <dcterms:modified xsi:type="dcterms:W3CDTF">2025-02-12T17:50:00Z</dcterms:modified>
</cp:coreProperties>
</file>