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bookmarkStart w:id="0" w:name="_GoBack"/>
      <w:bookmarkEnd w:id="0"/>
    </w:p>
    <w:p w:rsidR="00FE6BC2" w:rsidP="00AC1FC6">
      <w:pPr>
        <w:spacing w:after="0"/>
        <w:jc w:val="center"/>
        <w:rPr>
          <w:rFonts w:ascii="Liberation Serif" w:hAnsi="Liberation Serif" w:cs="Liberation Serif"/>
          <w:b/>
          <w:szCs w:val="24"/>
        </w:rPr>
      </w:pPr>
      <w:bookmarkStart w:id="1" w:name="P210"/>
      <w:bookmarkEnd w:id="1"/>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Батарея аккумуляторная</w:t>
            </w:r>
            <w:r w:rsidRPr="00E5163D">
              <w:rPr>
                <w:rFonts w:ascii="Liberation Serif" w:hAnsi="Liberation Serif" w:cs="Liberation Serif"/>
                <w:noProof/>
                <w:szCs w:val="24"/>
              </w:rPr>
              <w:t xml:space="preserve"> свинцово-кислотная стационарная</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40.00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Закрытая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27.20.22.000-00000001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Напряжение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В</w:t>
                  </w:r>
                  <w:r>
                    <w:rPr>
                      <w:rFonts w:ascii="Liberation Serif" w:hAnsi="Liberation Serif" w:cs="Liberation Serif"/>
                      <w:noProof/>
                      <w:szCs w:val="24"/>
                    </w:rPr>
                    <w:t xml:space="preserve"> (</w:t>
                  </w:r>
                  <w:r>
                    <w:rPr>
                      <w:rFonts w:ascii="Liberation Serif" w:hAnsi="Liberation Serif" w:cs="Liberation Serif"/>
                      <w:noProof/>
                      <w:szCs w:val="24"/>
                      <w:lang w:val="en-US"/>
                    </w:rPr>
                    <w:t>Вольт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27.20.22.000-00000001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Емкость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4.5</w:t>
                        </w:r>
                        <w:r>
                          <w:rPr>
                            <w:rFonts w:ascii="Liberation Serif" w:hAnsi="Liberation Serif" w:cs="Liberation Serif"/>
                            <w:noProof/>
                            <w:szCs w:val="24"/>
                            <w:lang w:val="en-US"/>
                          </w:rPr>
                          <w:t xml:space="preserve"> и ≤ 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А.Ч</w:t>
                  </w:r>
                  <w:r>
                    <w:rPr>
                      <w:rFonts w:ascii="Liberation Serif" w:hAnsi="Liberation Serif" w:cs="Liberation Serif"/>
                      <w:noProof/>
                      <w:szCs w:val="24"/>
                    </w:rPr>
                    <w:t xml:space="preserve"> (</w:t>
                  </w:r>
                  <w:r>
                    <w:rPr>
                      <w:rFonts w:ascii="Liberation Serif" w:hAnsi="Liberation Serif" w:cs="Liberation Serif"/>
                      <w:noProof/>
                      <w:szCs w:val="24"/>
                      <w:lang w:val="en-US"/>
                    </w:rPr>
                    <w:t>Ампер-час (</w:t>
                  </w:r>
                  <w:r>
                    <w:rPr>
                      <w:rFonts w:ascii="Liberation Serif" w:hAnsi="Liberation Serif" w:cs="Liberation Serif"/>
                      <w:noProof/>
                      <w:szCs w:val="24"/>
                      <w:lang w:val="en-US"/>
                    </w:rPr>
                    <w:t>3,6 кКл)</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27.20.22.000-00000001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использования</w:t>
                  </w:r>
                  <w:r>
                    <w:rPr>
                      <w:rFonts w:ascii="Liberation Serif" w:hAnsi="Liberation Serif" w:cs="Liberation Serif"/>
                      <w:noProof/>
                      <w:szCs w:val="24"/>
                      <w:lang w:val="en-US"/>
                    </w:rPr>
                    <w:t xml:space="preserve"> в ИБП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27.20.22.000-00000001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Технология изготовления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AGM</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Характеристика предполагает</w:t>
                  </w:r>
                  <w:r>
                    <w:rPr>
                      <w:rFonts w:ascii="Liberation Serif" w:hAnsi="Liberation Serif" w:cs="Liberation Serif"/>
                      <w:i/>
                      <w:iCs/>
                      <w:noProof/>
                      <w:szCs w:val="24"/>
                      <w:lang w:val="en-US"/>
                    </w:rPr>
                    <w:t xml:space="preserve"> возможность использовать аккумуляторные батареи (далее - АКБ) в любом положении (горизонтально и вертикально). Конструктивные элементы источников бесперебойного питания (далее - ИБП) Заказчика для размещения АКБ - корзины, предполагают как горизонтальную, так и вертикальную установку АКБ в них.</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Габаритные размеры</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90 мм</w:t>
                        </w:r>
                        <w:r>
                          <w:rPr>
                            <w:rFonts w:ascii="Liberation Serif" w:hAnsi="Liberation Serif" w:cs="Liberation Serif"/>
                            <w:noProof/>
                            <w:szCs w:val="24"/>
                            <w:lang w:val="en-US"/>
                          </w:rPr>
                          <w:t xml:space="preserve"> х 70 мм х 100 мм</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Габаритные размеры</w:t>
                  </w:r>
                  <w:r>
                    <w:rPr>
                      <w:rFonts w:ascii="Liberation Serif" w:hAnsi="Liberation Serif" w:cs="Liberation Serif"/>
                      <w:i/>
                      <w:iCs/>
                      <w:noProof/>
                      <w:szCs w:val="24"/>
                      <w:lang w:val="en-US"/>
                    </w:rPr>
                    <w:t xml:space="preserve"> АКБ указаны для соблюдения размерной совместимости с корзинами ИБП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Вес</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КГ</w:t>
                  </w:r>
                  <w:r>
                    <w:rPr>
                      <w:rFonts w:ascii="Liberation Serif" w:hAnsi="Liberation Serif" w:cs="Liberation Serif"/>
                      <w:noProof/>
                      <w:szCs w:val="24"/>
                    </w:rPr>
                    <w:t xml:space="preserve"> (</w:t>
                  </w:r>
                  <w:r>
                    <w:rPr>
                      <w:rFonts w:ascii="Liberation Serif" w:hAnsi="Liberation Serif" w:cs="Liberation Serif"/>
                      <w:noProof/>
                      <w:szCs w:val="24"/>
                      <w:lang w:val="en-US"/>
                    </w:rPr>
                    <w:t>Килограмм</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Вес АКБ</w:t>
                  </w:r>
                  <w:r>
                    <w:rPr>
                      <w:rFonts w:ascii="Liberation Serif" w:hAnsi="Liberation Serif" w:cs="Liberation Serif"/>
                      <w:i/>
                      <w:iCs/>
                      <w:noProof/>
                      <w:szCs w:val="24"/>
                      <w:lang w:val="en-US"/>
                    </w:rPr>
                    <w:t xml:space="preserve"> указан для обеспечения эквивалентности функциональных характеристик с оригинальными АКБ, использованными в ИБП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клемм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Нож F2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Тип клемм</w:t>
                  </w:r>
                  <w:r>
                    <w:rPr>
                      <w:rFonts w:ascii="Liberation Serif" w:hAnsi="Liberation Serif" w:cs="Liberation Serif"/>
                      <w:i/>
                      <w:iCs/>
                      <w:noProof/>
                      <w:szCs w:val="24"/>
                      <w:lang w:val="en-US"/>
                    </w:rPr>
                    <w:t xml:space="preserve"> АКБ указан для обеспечения совместимости с кабельными разъемами источников питания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службы</w:t>
                  </w:r>
                  <w:r>
                    <w:rPr>
                      <w:rFonts w:ascii="Liberation Serif" w:hAnsi="Liberation Serif" w:cs="Liberation Serif"/>
                      <w:noProof/>
                      <w:szCs w:val="24"/>
                      <w:lang w:val="en-US"/>
                    </w:rPr>
                    <w:t>, определенный производителем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ГОД;^</w:t>
                  </w:r>
                  <w:r>
                    <w:rPr>
                      <w:rFonts w:ascii="Liberation Serif" w:hAnsi="Liberation Serif" w:cs="Liberation Serif"/>
                      <w:noProof/>
                      <w:szCs w:val="24"/>
                      <w:lang w:val="en-US"/>
                    </w:rPr>
                    <w:t>ЛЕТ</w:t>
                  </w:r>
                  <w:r>
                    <w:rPr>
                      <w:rFonts w:ascii="Liberation Serif" w:hAnsi="Liberation Serif" w:cs="Liberation Serif"/>
                      <w:noProof/>
                      <w:szCs w:val="24"/>
                    </w:rPr>
                    <w:t xml:space="preserve"> (</w:t>
                  </w:r>
                  <w:r>
                    <w:rPr>
                      <w:rFonts w:ascii="Liberation Serif" w:hAnsi="Liberation Serif" w:cs="Liberation Serif"/>
                      <w:noProof/>
                      <w:szCs w:val="24"/>
                      <w:lang w:val="en-US"/>
                    </w:rPr>
                    <w:t>Год</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Срок службы</w:t>
                  </w:r>
                  <w:r>
                    <w:rPr>
                      <w:rFonts w:ascii="Liberation Serif" w:hAnsi="Liberation Serif" w:cs="Liberation Serif"/>
                      <w:i/>
                      <w:iCs/>
                      <w:noProof/>
                      <w:szCs w:val="24"/>
                      <w:lang w:val="en-US"/>
                    </w:rPr>
                    <w:t>, определенный производителем указан для увеличения нормативного срока эксплуатации АКБ.</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2</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Батарея аккумуляторная</w:t>
            </w:r>
            <w:r w:rsidRPr="00E5163D">
              <w:rPr>
                <w:rFonts w:ascii="Liberation Serif" w:hAnsi="Liberation Serif" w:cs="Liberation Serif"/>
                <w:noProof/>
                <w:szCs w:val="24"/>
              </w:rPr>
              <w:t xml:space="preserve"> свинцово-кислотная стационарная</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20.00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Закрытая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27.20.22.000-00000001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Напряжение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В</w:t>
                  </w:r>
                  <w:r>
                    <w:rPr>
                      <w:rFonts w:ascii="Liberation Serif" w:hAnsi="Liberation Serif" w:cs="Liberation Serif"/>
                      <w:noProof/>
                      <w:szCs w:val="24"/>
                    </w:rPr>
                    <w:t xml:space="preserve"> (</w:t>
                  </w:r>
                  <w:r>
                    <w:rPr>
                      <w:rFonts w:ascii="Liberation Serif" w:hAnsi="Liberation Serif" w:cs="Liberation Serif"/>
                      <w:noProof/>
                      <w:szCs w:val="24"/>
                      <w:lang w:val="en-US"/>
                    </w:rPr>
                    <w:t>Вольт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27.20.22.000-00000001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Емкость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7</w:t>
                        </w:r>
                        <w:r>
                          <w:rPr>
                            <w:rFonts w:ascii="Liberation Serif" w:hAnsi="Liberation Serif" w:cs="Liberation Serif"/>
                            <w:noProof/>
                            <w:szCs w:val="24"/>
                            <w:lang w:val="en-US"/>
                          </w:rPr>
                          <w:t xml:space="preserve"> и ≤ 7.2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А.Ч</w:t>
                  </w:r>
                  <w:r>
                    <w:rPr>
                      <w:rFonts w:ascii="Liberation Serif" w:hAnsi="Liberation Serif" w:cs="Liberation Serif"/>
                      <w:noProof/>
                      <w:szCs w:val="24"/>
                    </w:rPr>
                    <w:t xml:space="preserve"> (</w:t>
                  </w:r>
                  <w:r>
                    <w:rPr>
                      <w:rFonts w:ascii="Liberation Serif" w:hAnsi="Liberation Serif" w:cs="Liberation Serif"/>
                      <w:noProof/>
                      <w:szCs w:val="24"/>
                      <w:lang w:val="en-US"/>
                    </w:rPr>
                    <w:t>Ампер-час (</w:t>
                  </w:r>
                  <w:r>
                    <w:rPr>
                      <w:rFonts w:ascii="Liberation Serif" w:hAnsi="Liberation Serif" w:cs="Liberation Serif"/>
                      <w:noProof/>
                      <w:szCs w:val="24"/>
                      <w:lang w:val="en-US"/>
                    </w:rPr>
                    <w:t>3,6 кКл)</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27.20.22.000-00000001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использования</w:t>
                  </w:r>
                  <w:r>
                    <w:rPr>
                      <w:rFonts w:ascii="Liberation Serif" w:hAnsi="Liberation Serif" w:cs="Liberation Serif"/>
                      <w:noProof/>
                      <w:szCs w:val="24"/>
                      <w:lang w:val="en-US"/>
                    </w:rPr>
                    <w:t xml:space="preserve"> в ИБП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27.20.22.000-00000001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Технология изготовления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AGM</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Характеристика предполагает</w:t>
                  </w:r>
                  <w:r>
                    <w:rPr>
                      <w:rFonts w:ascii="Liberation Serif" w:hAnsi="Liberation Serif" w:cs="Liberation Serif"/>
                      <w:i/>
                      <w:iCs/>
                      <w:noProof/>
                      <w:szCs w:val="24"/>
                      <w:lang w:val="en-US"/>
                    </w:rPr>
                    <w:t xml:space="preserve"> возможность использовать аккумуляторные батареи (далее - АКБ) в любом положении (горизонтально и вертикально). Конструктивные элементы источников бесперебойного питания (далее - ИБП) Заказчика для размещения АКБ - корзины, предполагают как горизонтальную, так и вертикальную установку АКБ в них.</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Габаритные размеры</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151 мм</w:t>
                        </w:r>
                        <w:r>
                          <w:rPr>
                            <w:rFonts w:ascii="Liberation Serif" w:hAnsi="Liberation Serif" w:cs="Liberation Serif"/>
                            <w:noProof/>
                            <w:szCs w:val="24"/>
                            <w:lang w:val="en-US"/>
                          </w:rPr>
                          <w:t xml:space="preserve"> х 65 мм х 100 мм</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Габаритные размеры</w:t>
                  </w:r>
                  <w:r>
                    <w:rPr>
                      <w:rFonts w:ascii="Liberation Serif" w:hAnsi="Liberation Serif" w:cs="Liberation Serif"/>
                      <w:i/>
                      <w:iCs/>
                      <w:noProof/>
                      <w:szCs w:val="24"/>
                      <w:lang w:val="en-US"/>
                    </w:rPr>
                    <w:t xml:space="preserve"> АКБ указаны для соблюдения размерной совместимости с корзинами ИБП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Вес</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КГ</w:t>
                  </w:r>
                  <w:r>
                    <w:rPr>
                      <w:rFonts w:ascii="Liberation Serif" w:hAnsi="Liberation Serif" w:cs="Liberation Serif"/>
                      <w:noProof/>
                      <w:szCs w:val="24"/>
                    </w:rPr>
                    <w:t xml:space="preserve"> (</w:t>
                  </w:r>
                  <w:r>
                    <w:rPr>
                      <w:rFonts w:ascii="Liberation Serif" w:hAnsi="Liberation Serif" w:cs="Liberation Serif"/>
                      <w:noProof/>
                      <w:szCs w:val="24"/>
                      <w:lang w:val="en-US"/>
                    </w:rPr>
                    <w:t>Килограмм</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Вес АКБ</w:t>
                  </w:r>
                  <w:r>
                    <w:rPr>
                      <w:rFonts w:ascii="Liberation Serif" w:hAnsi="Liberation Serif" w:cs="Liberation Serif"/>
                      <w:i/>
                      <w:iCs/>
                      <w:noProof/>
                      <w:szCs w:val="24"/>
                      <w:lang w:val="en-US"/>
                    </w:rPr>
                    <w:t xml:space="preserve"> указан для обеспечения эквивалентности функциональных характеристик с оригинальными АКБ, использованными в ИБП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клемм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Нож F2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Тип клемм</w:t>
                  </w:r>
                  <w:r>
                    <w:rPr>
                      <w:rFonts w:ascii="Liberation Serif" w:hAnsi="Liberation Serif" w:cs="Liberation Serif"/>
                      <w:i/>
                      <w:iCs/>
                      <w:noProof/>
                      <w:szCs w:val="24"/>
                      <w:lang w:val="en-US"/>
                    </w:rPr>
                    <w:t xml:space="preserve"> АКБ указан для обеспечения совместимости с кабельными разъемами источников питания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службы</w:t>
                  </w:r>
                  <w:r>
                    <w:rPr>
                      <w:rFonts w:ascii="Liberation Serif" w:hAnsi="Liberation Serif" w:cs="Liberation Serif"/>
                      <w:noProof/>
                      <w:szCs w:val="24"/>
                      <w:lang w:val="en-US"/>
                    </w:rPr>
                    <w:t>, определенный производителем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ГОД;^</w:t>
                  </w:r>
                  <w:r>
                    <w:rPr>
                      <w:rFonts w:ascii="Liberation Serif" w:hAnsi="Liberation Serif" w:cs="Liberation Serif"/>
                      <w:noProof/>
                      <w:szCs w:val="24"/>
                      <w:lang w:val="en-US"/>
                    </w:rPr>
                    <w:t>ЛЕТ</w:t>
                  </w:r>
                  <w:r>
                    <w:rPr>
                      <w:rFonts w:ascii="Liberation Serif" w:hAnsi="Liberation Serif" w:cs="Liberation Serif"/>
                      <w:noProof/>
                      <w:szCs w:val="24"/>
                    </w:rPr>
                    <w:t xml:space="preserve"> (</w:t>
                  </w:r>
                  <w:r>
                    <w:rPr>
                      <w:rFonts w:ascii="Liberation Serif" w:hAnsi="Liberation Serif" w:cs="Liberation Serif"/>
                      <w:noProof/>
                      <w:szCs w:val="24"/>
                      <w:lang w:val="en-US"/>
                    </w:rPr>
                    <w:t>Год</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Срок службы</w:t>
                  </w:r>
                  <w:r>
                    <w:rPr>
                      <w:rFonts w:ascii="Liberation Serif" w:hAnsi="Liberation Serif" w:cs="Liberation Serif"/>
                      <w:i/>
                      <w:iCs/>
                      <w:noProof/>
                      <w:szCs w:val="24"/>
                      <w:lang w:val="en-US"/>
                    </w:rPr>
                    <w:t>, определенный производителем указан для увеличения нормативного срока эксплуатации АКБ.</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3</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Батарея аккумуляторная</w:t>
            </w:r>
            <w:r w:rsidRPr="00E5163D">
              <w:rPr>
                <w:rFonts w:ascii="Liberation Serif" w:hAnsi="Liberation Serif" w:cs="Liberation Serif"/>
                <w:noProof/>
                <w:szCs w:val="24"/>
              </w:rPr>
              <w:t xml:space="preserve"> свинцово-кислотная стационарная</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Закрытая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27.20.22.000-00000001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Напряжение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В</w:t>
                  </w:r>
                  <w:r>
                    <w:rPr>
                      <w:rFonts w:ascii="Liberation Serif" w:hAnsi="Liberation Serif" w:cs="Liberation Serif"/>
                      <w:noProof/>
                      <w:szCs w:val="24"/>
                    </w:rPr>
                    <w:t xml:space="preserve"> (</w:t>
                  </w:r>
                  <w:r>
                    <w:rPr>
                      <w:rFonts w:ascii="Liberation Serif" w:hAnsi="Liberation Serif" w:cs="Liberation Serif"/>
                      <w:noProof/>
                      <w:szCs w:val="24"/>
                      <w:lang w:val="en-US"/>
                    </w:rPr>
                    <w:t>Вольт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27.20.22.000-00000001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Емкость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9</w:t>
                        </w:r>
                        <w:r>
                          <w:rPr>
                            <w:rFonts w:ascii="Liberation Serif" w:hAnsi="Liberation Serif" w:cs="Liberation Serif"/>
                            <w:noProof/>
                            <w:szCs w:val="24"/>
                            <w:lang w:val="en-US"/>
                          </w:rPr>
                          <w:t xml:space="preserve"> и ≤ 12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А.Ч</w:t>
                  </w:r>
                  <w:r>
                    <w:rPr>
                      <w:rFonts w:ascii="Liberation Serif" w:hAnsi="Liberation Serif" w:cs="Liberation Serif"/>
                      <w:noProof/>
                      <w:szCs w:val="24"/>
                    </w:rPr>
                    <w:t xml:space="preserve"> (</w:t>
                  </w:r>
                  <w:r>
                    <w:rPr>
                      <w:rFonts w:ascii="Liberation Serif" w:hAnsi="Liberation Serif" w:cs="Liberation Serif"/>
                      <w:noProof/>
                      <w:szCs w:val="24"/>
                      <w:lang w:val="en-US"/>
                    </w:rPr>
                    <w:t>Ампер-час (</w:t>
                  </w:r>
                  <w:r>
                    <w:rPr>
                      <w:rFonts w:ascii="Liberation Serif" w:hAnsi="Liberation Serif" w:cs="Liberation Serif"/>
                      <w:noProof/>
                      <w:szCs w:val="24"/>
                      <w:lang w:val="en-US"/>
                    </w:rPr>
                    <w:t>3,6 кКл)</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27.20.22.000-00000001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использования</w:t>
                  </w:r>
                  <w:r>
                    <w:rPr>
                      <w:rFonts w:ascii="Liberation Serif" w:hAnsi="Liberation Serif" w:cs="Liberation Serif"/>
                      <w:noProof/>
                      <w:szCs w:val="24"/>
                      <w:lang w:val="en-US"/>
                    </w:rPr>
                    <w:t xml:space="preserve"> в ИБП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27.20.22.000-00000001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Технология изготовления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AGM</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Характеристика предполагает</w:t>
                  </w:r>
                  <w:r>
                    <w:rPr>
                      <w:rFonts w:ascii="Liberation Serif" w:hAnsi="Liberation Serif" w:cs="Liberation Serif"/>
                      <w:i/>
                      <w:iCs/>
                      <w:noProof/>
                      <w:szCs w:val="24"/>
                      <w:lang w:val="en-US"/>
                    </w:rPr>
                    <w:t xml:space="preserve"> возможность использовать аккумуляторные батареи (далее - АКБ) в любом положении (горизонтально и вертикально). Конструктивные элементы источников бесперебойного питания (далее - ИБП) Заказчика для размещения АКБ - корзины, предполагают как горизонтальную, так и вертикальную установку АКБ в них.</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Габаритные размеры</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151 мм</w:t>
                        </w:r>
                        <w:r>
                          <w:rPr>
                            <w:rFonts w:ascii="Liberation Serif" w:hAnsi="Liberation Serif" w:cs="Liberation Serif"/>
                            <w:noProof/>
                            <w:szCs w:val="24"/>
                            <w:lang w:val="en-US"/>
                          </w:rPr>
                          <w:t xml:space="preserve"> х 98 мм х 101 мм</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Габаритные размеры</w:t>
                  </w:r>
                  <w:r>
                    <w:rPr>
                      <w:rFonts w:ascii="Liberation Serif" w:hAnsi="Liberation Serif" w:cs="Liberation Serif"/>
                      <w:i/>
                      <w:iCs/>
                      <w:noProof/>
                      <w:szCs w:val="24"/>
                      <w:lang w:val="en-US"/>
                    </w:rPr>
                    <w:t xml:space="preserve"> АКБ указаны для соблюдения размерной совместимости с корзинами ИБП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Вес</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КГ</w:t>
                  </w:r>
                  <w:r>
                    <w:rPr>
                      <w:rFonts w:ascii="Liberation Serif" w:hAnsi="Liberation Serif" w:cs="Liberation Serif"/>
                      <w:noProof/>
                      <w:szCs w:val="24"/>
                    </w:rPr>
                    <w:t xml:space="preserve"> (</w:t>
                  </w:r>
                  <w:r>
                    <w:rPr>
                      <w:rFonts w:ascii="Liberation Serif" w:hAnsi="Liberation Serif" w:cs="Liberation Serif"/>
                      <w:noProof/>
                      <w:szCs w:val="24"/>
                      <w:lang w:val="en-US"/>
                    </w:rPr>
                    <w:t>Килограмм</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Вес АКБ</w:t>
                  </w:r>
                  <w:r>
                    <w:rPr>
                      <w:rFonts w:ascii="Liberation Serif" w:hAnsi="Liberation Serif" w:cs="Liberation Serif"/>
                      <w:i/>
                      <w:iCs/>
                      <w:noProof/>
                      <w:szCs w:val="24"/>
                      <w:lang w:val="en-US"/>
                    </w:rPr>
                    <w:t xml:space="preserve"> указан для обеспечения эквивалентности функциональных характеристик с оригинальными АКБ, использованными в ИБП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клемм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Нож F2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Тип клемм</w:t>
                  </w:r>
                  <w:r>
                    <w:rPr>
                      <w:rFonts w:ascii="Liberation Serif" w:hAnsi="Liberation Serif" w:cs="Liberation Serif"/>
                      <w:i/>
                      <w:iCs/>
                      <w:noProof/>
                      <w:szCs w:val="24"/>
                      <w:lang w:val="en-US"/>
                    </w:rPr>
                    <w:t xml:space="preserve"> АКБ указан для обеспечения совместимости с кабельными разъемами источников питания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службы</w:t>
                  </w:r>
                  <w:r>
                    <w:rPr>
                      <w:rFonts w:ascii="Liberation Serif" w:hAnsi="Liberation Serif" w:cs="Liberation Serif"/>
                      <w:noProof/>
                      <w:szCs w:val="24"/>
                      <w:lang w:val="en-US"/>
                    </w:rPr>
                    <w:t>, определенный производителем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ГОД;^</w:t>
                  </w:r>
                  <w:r>
                    <w:rPr>
                      <w:rFonts w:ascii="Liberation Serif" w:hAnsi="Liberation Serif" w:cs="Liberation Serif"/>
                      <w:noProof/>
                      <w:szCs w:val="24"/>
                      <w:lang w:val="en-US"/>
                    </w:rPr>
                    <w:t>ЛЕТ</w:t>
                  </w:r>
                  <w:r>
                    <w:rPr>
                      <w:rFonts w:ascii="Liberation Serif" w:hAnsi="Liberation Serif" w:cs="Liberation Serif"/>
                      <w:noProof/>
                      <w:szCs w:val="24"/>
                    </w:rPr>
                    <w:t xml:space="preserve"> (</w:t>
                  </w:r>
                  <w:r>
                    <w:rPr>
                      <w:rFonts w:ascii="Liberation Serif" w:hAnsi="Liberation Serif" w:cs="Liberation Serif"/>
                      <w:noProof/>
                      <w:szCs w:val="24"/>
                      <w:lang w:val="en-US"/>
                    </w:rPr>
                    <w:t>Год</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Срок службы</w:t>
                  </w:r>
                  <w:r>
                    <w:rPr>
                      <w:rFonts w:ascii="Liberation Serif" w:hAnsi="Liberation Serif" w:cs="Liberation Serif"/>
                      <w:i/>
                      <w:iCs/>
                      <w:noProof/>
                      <w:szCs w:val="24"/>
                      <w:lang w:val="en-US"/>
                    </w:rPr>
                    <w:t>, определенный производителем указан для увеличения нормативного срока эксплуатации АКБ.</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D5AEE" w:rsidP="00A00184">
      <w:pPr>
        <w:spacing w:after="0" w:line="240" w:lineRule="auto"/>
      </w:pPr>
      <w:r>
        <w:separator/>
      </w:r>
    </w:p>
  </w:footnote>
  <w:footnote w:type="continuationSeparator" w:id="1">
    <w:p w:rsidR="001D5AEE"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Осин Андрей</cp:lastModifiedBy>
  <cp:revision>72</cp:revision>
  <dcterms:created xsi:type="dcterms:W3CDTF">2023-05-29T19:08:00Z</dcterms:created>
  <dcterms:modified xsi:type="dcterms:W3CDTF">2024-10-21T04:11:00Z</dcterms:modified>
</cp:coreProperties>
</file>