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Наличие у участника закупки действующей лицензии подтверждается:</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наличием сведений об участнике закупки, содержащихся в реестре лицензий на сайте лицензирующего органа</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или </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4601A7"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Основание:</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xml:space="preserve">- Федеральный </w:t>
            </w:r>
            <w:r w:rsidRPr="00B37762">
              <w:rPr>
                <w:rFonts w:ascii="Liberation Serif" w:hAnsi="Liberation Serif" w:cs="Liberation Serif"/>
                <w:i/>
                <w:noProof/>
                <w:sz w:val="24"/>
                <w:szCs w:val="24"/>
                <w:lang w:val="en-US"/>
              </w:rPr>
              <w:t>закон от 04.05.2011 N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Постановление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Приказ Минздрава России от 19.08.2021 N 866н «Об утверждении классификатора работ (услуг), составляющих медицинскую деятельность».</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Акушерство и гинекология (за исключением использования вспомогательных репродуктивных технологий и искусственного прерывания беременности);</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Неврология;</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Оториноларингология (за исключением кохлеарной имплантации);</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Офтальмология;</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Психиатрия;</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Психиатрия-наркология;</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Наркология;</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Рентгенология;</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Терапия;</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врачебная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Урология;</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Хирургия;</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Хирургия (абдоминальная);</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Ультразвуковая диагностика;</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Эндокринология;</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Диабетология;</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медицинской помощи: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Первичная специализированная медико-санитарная помощь;</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Условия оказания медицинской помощи: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Амбулаторно;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Приказ Минздрава России от</w:t>
            </w:r>
            <w:r w:rsidRPr="00B37762">
              <w:rPr>
                <w:rFonts w:ascii="Liberation Serif" w:hAnsi="Liberation Serif" w:cs="Liberation Serif"/>
                <w:i/>
                <w:noProof/>
                <w:sz w:val="24"/>
                <w:szCs w:val="24"/>
                <w:lang w:val="en-US"/>
              </w:rPr>
              <w:t xml:space="preserve"> 19.08.2021 N 866н.</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Клиническая лабораторная диагностика</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и(или)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Лабораторная диагностика;</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 (или)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Лабораторное дело;</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01.06.2021 N 852; Приказ Минздрава России от 18.05.2021 № 464н</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252665822333566580100102170018621244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12</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