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95" w:rsidRPr="007D79B2" w:rsidRDefault="00F04ADB" w:rsidP="00912F95">
      <w:pPr>
        <w:ind w:firstLine="708"/>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 </w:t>
      </w:r>
      <w:r w:rsidR="00912F95" w:rsidRPr="007D79B2">
        <w:rPr>
          <w:rFonts w:ascii="Liberation Serif" w:eastAsia="Times New Roman" w:hAnsi="Liberation Serif" w:cs="Liberation Serif"/>
          <w:b/>
          <w:sz w:val="28"/>
          <w:szCs w:val="28"/>
          <w:lang w:eastAsia="ru-RU"/>
        </w:rPr>
        <w:t>Часть IV. «</w:t>
      </w:r>
      <w:r w:rsidR="00935BA4" w:rsidRPr="00935BA4">
        <w:rPr>
          <w:rFonts w:ascii="Liberation Serif" w:eastAsia="Times New Roman" w:hAnsi="Liberation Serif" w:cs="Liberation Serif"/>
          <w:b/>
          <w:sz w:val="28"/>
          <w:szCs w:val="28"/>
          <w:lang w:eastAsia="ru-RU"/>
        </w:rPr>
        <w:t>Обоснование начальной (максимальной) цены контракта, начальных цен единиц товара, работы, услуги</w:t>
      </w:r>
      <w:r w:rsidR="00912F95" w:rsidRPr="007D79B2">
        <w:rPr>
          <w:rFonts w:ascii="Liberation Serif" w:eastAsia="Times New Roman" w:hAnsi="Liberation Serif" w:cs="Liberation Serif"/>
          <w:b/>
          <w:sz w:val="28"/>
          <w:szCs w:val="28"/>
          <w:lang w:eastAsia="ru-RU"/>
        </w:rPr>
        <w:t>»</w:t>
      </w:r>
      <w:r w:rsidR="00912F95" w:rsidRPr="007D79B2">
        <w:rPr>
          <w:rStyle w:val="ac"/>
          <w:rFonts w:ascii="Liberation Serif" w:eastAsia="Times New Roman" w:hAnsi="Liberation Serif" w:cs="Liberation Serif"/>
          <w:b/>
          <w:sz w:val="28"/>
          <w:szCs w:val="28"/>
          <w:lang w:eastAsia="ru-RU"/>
        </w:rPr>
        <w:t xml:space="preserve"> </w:t>
      </w:r>
    </w:p>
    <w:tbl>
      <w:tblPr>
        <w:tblStyle w:val="1fb"/>
        <w:tblW w:w="5000" w:type="pct"/>
        <w:jc w:val="center"/>
        <w:tblLayout w:type="fixed"/>
        <w:tblCellMar>
          <w:top w:w="28" w:type="dxa"/>
          <w:left w:w="28" w:type="dxa"/>
          <w:bottom w:w="28" w:type="dxa"/>
          <w:right w:w="28" w:type="dxa"/>
        </w:tblCellMar>
        <w:tblLook w:val="00A0" w:firstRow="1" w:lastRow="0" w:firstColumn="1" w:lastColumn="0" w:noHBand="0" w:noVBand="0"/>
      </w:tblPr>
      <w:tblGrid>
        <w:gridCol w:w="1130"/>
        <w:gridCol w:w="2268"/>
        <w:gridCol w:w="1983"/>
        <w:gridCol w:w="993"/>
        <w:gridCol w:w="1133"/>
        <w:gridCol w:w="1418"/>
        <w:gridCol w:w="1418"/>
        <w:gridCol w:w="1299"/>
        <w:gridCol w:w="1389"/>
        <w:gridCol w:w="1529"/>
      </w:tblGrid>
      <w:tr w:rsidR="00515AA1" w:rsidRPr="00515AA1" w:rsidTr="001C46E7">
        <w:trPr>
          <w:trHeight w:val="696"/>
          <w:jc w:val="center"/>
        </w:trPr>
        <w:tc>
          <w:tcPr>
            <w:tcW w:w="388" w:type="pct"/>
            <w:vMerge w:val="restart"/>
            <w:vAlign w:val="center"/>
          </w:tcPr>
          <w:p w:rsidR="00912F95" w:rsidRPr="00515AA1" w:rsidRDefault="00912F95" w:rsidP="00515AA1">
            <w:pPr>
              <w:jc w:val="center"/>
            </w:pPr>
            <w:r w:rsidRPr="00515AA1">
              <w:t>Порядковый номер позиции согласно описанию объекта закупки</w:t>
            </w:r>
          </w:p>
        </w:tc>
        <w:tc>
          <w:tcPr>
            <w:tcW w:w="779" w:type="pct"/>
            <w:vMerge w:val="restart"/>
            <w:vAlign w:val="center"/>
          </w:tcPr>
          <w:p w:rsidR="00912F95" w:rsidRPr="00515AA1" w:rsidRDefault="00912F95" w:rsidP="00515AA1">
            <w:pPr>
              <w:jc w:val="center"/>
            </w:pPr>
            <w:r w:rsidRPr="00515AA1">
              <w:t>Наименование товара, работы, услуги, входящих в объект закупки</w:t>
            </w:r>
          </w:p>
        </w:tc>
        <w:tc>
          <w:tcPr>
            <w:tcW w:w="681" w:type="pct"/>
            <w:vMerge w:val="restart"/>
            <w:vAlign w:val="center"/>
          </w:tcPr>
          <w:p w:rsidR="00912F95" w:rsidRPr="00515AA1" w:rsidRDefault="00912F95" w:rsidP="00515AA1">
            <w:pPr>
              <w:jc w:val="center"/>
            </w:pPr>
            <w:r w:rsidRPr="00515AA1">
              <w:t>Основные характеристики закупаемого товара, работ, услуг</w:t>
            </w:r>
          </w:p>
        </w:tc>
        <w:tc>
          <w:tcPr>
            <w:tcW w:w="341" w:type="pct"/>
            <w:vMerge w:val="restart"/>
            <w:vAlign w:val="center"/>
          </w:tcPr>
          <w:p w:rsidR="00912F95" w:rsidRPr="00515AA1" w:rsidRDefault="00912F95" w:rsidP="00515AA1">
            <w:pPr>
              <w:jc w:val="center"/>
            </w:pPr>
            <w:r w:rsidRPr="00515AA1">
              <w:t>Единица измерения</w:t>
            </w:r>
          </w:p>
        </w:tc>
        <w:tc>
          <w:tcPr>
            <w:tcW w:w="389" w:type="pct"/>
            <w:vMerge w:val="restart"/>
            <w:vAlign w:val="center"/>
          </w:tcPr>
          <w:p w:rsidR="00912F95" w:rsidRPr="00515AA1" w:rsidRDefault="00912F95" w:rsidP="00515AA1">
            <w:pPr>
              <w:jc w:val="center"/>
            </w:pPr>
            <w:r w:rsidRPr="00515AA1">
              <w:t>Количество</w:t>
            </w:r>
          </w:p>
        </w:tc>
        <w:tc>
          <w:tcPr>
            <w:tcW w:w="1420" w:type="pct"/>
            <w:gridSpan w:val="3"/>
            <w:vAlign w:val="center"/>
          </w:tcPr>
          <w:p w:rsidR="00912F95" w:rsidRPr="00515AA1" w:rsidRDefault="00912F95" w:rsidP="00515AA1">
            <w:pPr>
              <w:jc w:val="center"/>
            </w:pPr>
            <w:r w:rsidRPr="00515AA1">
              <w:t>Цена за единицу товара, работы, услуги (рублей)</w:t>
            </w:r>
          </w:p>
        </w:tc>
        <w:tc>
          <w:tcPr>
            <w:tcW w:w="477" w:type="pct"/>
            <w:vMerge w:val="restart"/>
            <w:vAlign w:val="center"/>
          </w:tcPr>
          <w:p w:rsidR="00912F95" w:rsidRPr="00515AA1" w:rsidRDefault="00912F95" w:rsidP="00515AA1">
            <w:pPr>
              <w:jc w:val="center"/>
            </w:pPr>
            <w:r w:rsidRPr="00515AA1">
              <w:t>Цена за единицу товара, работы, услуги, используемая для расчёта НМЦК (рублей)</w:t>
            </w:r>
          </w:p>
        </w:tc>
        <w:tc>
          <w:tcPr>
            <w:tcW w:w="525" w:type="pct"/>
            <w:vMerge w:val="restart"/>
            <w:vAlign w:val="center"/>
          </w:tcPr>
          <w:p w:rsidR="00912F95" w:rsidRPr="00515AA1" w:rsidRDefault="00912F95" w:rsidP="00515AA1">
            <w:pPr>
              <w:jc w:val="center"/>
            </w:pPr>
            <w:r w:rsidRPr="00515AA1">
              <w:t>Начальная (максимальная) цена по позиции (рублей)</w:t>
            </w:r>
          </w:p>
        </w:tc>
      </w:tr>
      <w:tr w:rsidR="00515AA1" w:rsidRPr="00515AA1" w:rsidTr="001C46E7">
        <w:trPr>
          <w:trHeight w:val="988"/>
          <w:jc w:val="center"/>
        </w:trPr>
        <w:tc>
          <w:tcPr>
            <w:tcW w:w="388" w:type="pct"/>
            <w:vMerge/>
            <w:vAlign w:val="center"/>
          </w:tcPr>
          <w:p w:rsidR="00986727" w:rsidRPr="00515AA1" w:rsidRDefault="00986727" w:rsidP="00515AA1">
            <w:pPr>
              <w:jc w:val="center"/>
            </w:pPr>
          </w:p>
        </w:tc>
        <w:tc>
          <w:tcPr>
            <w:tcW w:w="779" w:type="pct"/>
            <w:vMerge/>
            <w:vAlign w:val="center"/>
          </w:tcPr>
          <w:p w:rsidR="00986727" w:rsidRPr="00515AA1" w:rsidRDefault="00986727" w:rsidP="00515AA1">
            <w:pPr>
              <w:jc w:val="center"/>
            </w:pPr>
          </w:p>
        </w:tc>
        <w:tc>
          <w:tcPr>
            <w:tcW w:w="681" w:type="pct"/>
            <w:vMerge/>
            <w:vAlign w:val="center"/>
          </w:tcPr>
          <w:p w:rsidR="00986727" w:rsidRPr="00515AA1" w:rsidRDefault="00986727" w:rsidP="00515AA1">
            <w:pPr>
              <w:jc w:val="center"/>
            </w:pPr>
          </w:p>
        </w:tc>
        <w:tc>
          <w:tcPr>
            <w:tcW w:w="341" w:type="pct"/>
            <w:vMerge/>
            <w:vAlign w:val="center"/>
          </w:tcPr>
          <w:p w:rsidR="00986727" w:rsidRPr="00515AA1" w:rsidRDefault="00986727" w:rsidP="00515AA1">
            <w:pPr>
              <w:jc w:val="center"/>
            </w:pPr>
          </w:p>
        </w:tc>
        <w:tc>
          <w:tcPr>
            <w:tcW w:w="389" w:type="pct"/>
            <w:vMerge/>
            <w:vAlign w:val="center"/>
          </w:tcPr>
          <w:p w:rsidR="00986727" w:rsidRPr="00515AA1" w:rsidRDefault="00986727" w:rsidP="00515AA1">
            <w:pPr>
              <w:jc w:val="center"/>
            </w:pPr>
          </w:p>
        </w:tc>
        <w:tc>
          <w:tcPr>
            <w:tcW w:w="487" w:type="pct"/>
            <w:shd w:val="clear" w:color="auto" w:fill="auto"/>
            <w:vAlign w:val="center"/>
          </w:tcPr>
          <w:p w:rsidR="00986727" w:rsidRPr="00515AA1" w:rsidRDefault="00D21E6B" w:rsidP="004946D6">
            <w:pPr>
              <w:jc w:val="center"/>
              <w:rPr>
                <w:bCs/>
              </w:rPr>
            </w:pPr>
            <w:r w:rsidRPr="00515AA1">
              <w:rPr>
                <w:bCs/>
              </w:rPr>
              <w:t>Источник</w:t>
            </w:r>
            <w:r w:rsidR="00986727" w:rsidRPr="00515AA1">
              <w:rPr>
                <w:bCs/>
              </w:rPr>
              <w:t xml:space="preserve"> № 1 </w:t>
            </w:r>
            <w:r w:rsidR="00394C1C" w:rsidRPr="00515AA1">
              <w:rPr>
                <w:bCs/>
              </w:rPr>
              <w:t>(</w:t>
            </w:r>
            <w:proofErr w:type="spellStart"/>
            <w:r w:rsidR="00FE1C8F" w:rsidRPr="00FE1C8F">
              <w:rPr>
                <w:bCs/>
              </w:rPr>
              <w:t>вх</w:t>
            </w:r>
            <w:proofErr w:type="spellEnd"/>
            <w:r w:rsidR="00FE1C8F" w:rsidRPr="00FE1C8F">
              <w:rPr>
                <w:bCs/>
              </w:rPr>
              <w:t>. № 101-14/1</w:t>
            </w:r>
            <w:r w:rsidR="004946D6">
              <w:rPr>
                <w:bCs/>
              </w:rPr>
              <w:t>53</w:t>
            </w:r>
            <w:r w:rsidR="00FE1C8F" w:rsidRPr="00FE1C8F">
              <w:rPr>
                <w:bCs/>
              </w:rPr>
              <w:t xml:space="preserve"> от </w:t>
            </w:r>
            <w:r w:rsidR="004946D6">
              <w:rPr>
                <w:bCs/>
              </w:rPr>
              <w:t>18</w:t>
            </w:r>
            <w:r w:rsidR="00FE1C8F" w:rsidRPr="00FE1C8F">
              <w:rPr>
                <w:bCs/>
              </w:rPr>
              <w:t>.0</w:t>
            </w:r>
            <w:r w:rsidR="004946D6">
              <w:rPr>
                <w:bCs/>
              </w:rPr>
              <w:t>5</w:t>
            </w:r>
            <w:r w:rsidR="00FE1C8F" w:rsidRPr="00FE1C8F">
              <w:rPr>
                <w:bCs/>
              </w:rPr>
              <w:t>.2020</w:t>
            </w:r>
            <w:r w:rsidR="00394C1C" w:rsidRPr="00515AA1">
              <w:rPr>
                <w:bCs/>
              </w:rPr>
              <w:t>)</w:t>
            </w:r>
          </w:p>
        </w:tc>
        <w:tc>
          <w:tcPr>
            <w:tcW w:w="487" w:type="pct"/>
            <w:shd w:val="clear" w:color="auto" w:fill="auto"/>
            <w:vAlign w:val="center"/>
          </w:tcPr>
          <w:p w:rsidR="00986727" w:rsidRPr="00515AA1" w:rsidRDefault="00D21E6B" w:rsidP="004946D6">
            <w:pPr>
              <w:jc w:val="center"/>
              <w:rPr>
                <w:bCs/>
              </w:rPr>
            </w:pPr>
            <w:r w:rsidRPr="00515AA1">
              <w:rPr>
                <w:bCs/>
              </w:rPr>
              <w:t>Источник</w:t>
            </w:r>
            <w:r w:rsidR="00986727" w:rsidRPr="00515AA1">
              <w:rPr>
                <w:bCs/>
              </w:rPr>
              <w:t xml:space="preserve"> № 2 </w:t>
            </w:r>
            <w:r w:rsidR="00394C1C" w:rsidRPr="00515AA1">
              <w:rPr>
                <w:bCs/>
              </w:rPr>
              <w:t>(</w:t>
            </w:r>
            <w:proofErr w:type="spellStart"/>
            <w:r w:rsidR="00FE1C8F" w:rsidRPr="00FE1C8F">
              <w:rPr>
                <w:bCs/>
              </w:rPr>
              <w:t>вх</w:t>
            </w:r>
            <w:proofErr w:type="spellEnd"/>
            <w:r w:rsidR="00FE1C8F" w:rsidRPr="00FE1C8F">
              <w:rPr>
                <w:bCs/>
              </w:rPr>
              <w:t>. № 101-14/1</w:t>
            </w:r>
            <w:r w:rsidR="004946D6">
              <w:rPr>
                <w:bCs/>
              </w:rPr>
              <w:t>54</w:t>
            </w:r>
            <w:r w:rsidR="00FE1C8F" w:rsidRPr="00FE1C8F">
              <w:rPr>
                <w:bCs/>
              </w:rPr>
              <w:t xml:space="preserve"> от </w:t>
            </w:r>
            <w:r w:rsidR="004946D6">
              <w:rPr>
                <w:bCs/>
              </w:rPr>
              <w:t>18</w:t>
            </w:r>
            <w:r w:rsidR="00FE1C8F" w:rsidRPr="00FE1C8F">
              <w:rPr>
                <w:bCs/>
              </w:rPr>
              <w:t>.0</w:t>
            </w:r>
            <w:r w:rsidR="004946D6">
              <w:rPr>
                <w:bCs/>
              </w:rPr>
              <w:t>5</w:t>
            </w:r>
            <w:r w:rsidR="00FE1C8F" w:rsidRPr="00FE1C8F">
              <w:rPr>
                <w:bCs/>
              </w:rPr>
              <w:t>.2020</w:t>
            </w:r>
            <w:r w:rsidR="00394C1C" w:rsidRPr="00515AA1">
              <w:rPr>
                <w:bCs/>
              </w:rPr>
              <w:t>)</w:t>
            </w:r>
          </w:p>
        </w:tc>
        <w:tc>
          <w:tcPr>
            <w:tcW w:w="446" w:type="pct"/>
            <w:shd w:val="clear" w:color="auto" w:fill="auto"/>
            <w:vAlign w:val="center"/>
          </w:tcPr>
          <w:p w:rsidR="00986727" w:rsidRPr="00515AA1" w:rsidRDefault="00D21E6B" w:rsidP="004946D6">
            <w:pPr>
              <w:jc w:val="center"/>
              <w:rPr>
                <w:bCs/>
              </w:rPr>
            </w:pPr>
            <w:r w:rsidRPr="00515AA1">
              <w:rPr>
                <w:bCs/>
              </w:rPr>
              <w:t>Источник</w:t>
            </w:r>
            <w:r w:rsidR="00986727" w:rsidRPr="00515AA1">
              <w:rPr>
                <w:bCs/>
              </w:rPr>
              <w:t xml:space="preserve"> № 3 </w:t>
            </w:r>
            <w:r w:rsidR="00394C1C" w:rsidRPr="00515AA1">
              <w:rPr>
                <w:bCs/>
              </w:rPr>
              <w:t>(</w:t>
            </w:r>
            <w:proofErr w:type="spellStart"/>
            <w:r w:rsidR="00FE1C8F">
              <w:rPr>
                <w:bCs/>
              </w:rPr>
              <w:t>вх</w:t>
            </w:r>
            <w:proofErr w:type="spellEnd"/>
            <w:r w:rsidR="00FE1C8F">
              <w:rPr>
                <w:bCs/>
              </w:rPr>
              <w:t>. № 101-14/1</w:t>
            </w:r>
            <w:r w:rsidR="004946D6">
              <w:rPr>
                <w:bCs/>
              </w:rPr>
              <w:t>52</w:t>
            </w:r>
            <w:r w:rsidR="00FE1C8F">
              <w:rPr>
                <w:bCs/>
              </w:rPr>
              <w:t xml:space="preserve"> от </w:t>
            </w:r>
            <w:r w:rsidR="004946D6">
              <w:rPr>
                <w:bCs/>
              </w:rPr>
              <w:t>18</w:t>
            </w:r>
            <w:r w:rsidR="00FE1C8F">
              <w:rPr>
                <w:bCs/>
              </w:rPr>
              <w:t>.0</w:t>
            </w:r>
            <w:r w:rsidR="004946D6">
              <w:rPr>
                <w:bCs/>
              </w:rPr>
              <w:t>5</w:t>
            </w:r>
            <w:r w:rsidR="00FE1C8F">
              <w:rPr>
                <w:bCs/>
              </w:rPr>
              <w:t>.2020</w:t>
            </w:r>
            <w:r w:rsidR="00394C1C" w:rsidRPr="00515AA1">
              <w:rPr>
                <w:bCs/>
              </w:rPr>
              <w:t>)</w:t>
            </w:r>
          </w:p>
        </w:tc>
        <w:tc>
          <w:tcPr>
            <w:tcW w:w="477" w:type="pct"/>
            <w:vMerge/>
            <w:vAlign w:val="center"/>
          </w:tcPr>
          <w:p w:rsidR="00986727" w:rsidRPr="00515AA1" w:rsidRDefault="00986727" w:rsidP="00515AA1">
            <w:pPr>
              <w:jc w:val="center"/>
            </w:pPr>
          </w:p>
        </w:tc>
        <w:tc>
          <w:tcPr>
            <w:tcW w:w="525" w:type="pct"/>
            <w:vMerge/>
            <w:vAlign w:val="center"/>
          </w:tcPr>
          <w:p w:rsidR="00986727" w:rsidRPr="00515AA1" w:rsidRDefault="00986727" w:rsidP="00515AA1">
            <w:pPr>
              <w:jc w:val="center"/>
            </w:pPr>
          </w:p>
        </w:tc>
      </w:tr>
      <w:tr w:rsidR="00515AA1" w:rsidRPr="00515AA1" w:rsidTr="001C46E7">
        <w:trPr>
          <w:trHeight w:val="285"/>
          <w:jc w:val="center"/>
        </w:trPr>
        <w:tc>
          <w:tcPr>
            <w:tcW w:w="388" w:type="pct"/>
            <w:vAlign w:val="center"/>
          </w:tcPr>
          <w:p w:rsidR="00912F95" w:rsidRPr="00515AA1" w:rsidRDefault="00912F95" w:rsidP="00515AA1">
            <w:pPr>
              <w:jc w:val="center"/>
              <w:rPr>
                <w:bCs/>
              </w:rPr>
            </w:pPr>
            <w:r w:rsidRPr="00515AA1">
              <w:rPr>
                <w:bCs/>
              </w:rPr>
              <w:t>1</w:t>
            </w:r>
          </w:p>
        </w:tc>
        <w:tc>
          <w:tcPr>
            <w:tcW w:w="779" w:type="pct"/>
            <w:vAlign w:val="center"/>
          </w:tcPr>
          <w:p w:rsidR="00912F95" w:rsidRPr="00515AA1" w:rsidRDefault="00912F95" w:rsidP="00515AA1">
            <w:pPr>
              <w:jc w:val="center"/>
              <w:rPr>
                <w:bCs/>
              </w:rPr>
            </w:pPr>
            <w:r w:rsidRPr="00515AA1">
              <w:rPr>
                <w:bCs/>
              </w:rPr>
              <w:t>2</w:t>
            </w:r>
          </w:p>
        </w:tc>
        <w:tc>
          <w:tcPr>
            <w:tcW w:w="681" w:type="pct"/>
            <w:vAlign w:val="center"/>
          </w:tcPr>
          <w:p w:rsidR="00912F95" w:rsidRPr="00515AA1" w:rsidRDefault="00912F95" w:rsidP="00515AA1">
            <w:pPr>
              <w:jc w:val="center"/>
              <w:rPr>
                <w:bCs/>
              </w:rPr>
            </w:pPr>
            <w:r w:rsidRPr="00515AA1">
              <w:rPr>
                <w:bCs/>
              </w:rPr>
              <w:t>3</w:t>
            </w:r>
          </w:p>
        </w:tc>
        <w:tc>
          <w:tcPr>
            <w:tcW w:w="341" w:type="pct"/>
            <w:vAlign w:val="center"/>
          </w:tcPr>
          <w:p w:rsidR="00912F95" w:rsidRPr="00515AA1" w:rsidRDefault="00912F95" w:rsidP="00515AA1">
            <w:pPr>
              <w:jc w:val="center"/>
              <w:rPr>
                <w:bCs/>
              </w:rPr>
            </w:pPr>
            <w:r w:rsidRPr="00515AA1">
              <w:rPr>
                <w:bCs/>
              </w:rPr>
              <w:t>4</w:t>
            </w:r>
          </w:p>
        </w:tc>
        <w:tc>
          <w:tcPr>
            <w:tcW w:w="389" w:type="pct"/>
            <w:vAlign w:val="center"/>
          </w:tcPr>
          <w:p w:rsidR="00912F95" w:rsidRPr="00515AA1" w:rsidRDefault="00912F95" w:rsidP="00515AA1">
            <w:pPr>
              <w:jc w:val="center"/>
              <w:rPr>
                <w:bCs/>
              </w:rPr>
            </w:pPr>
            <w:r w:rsidRPr="00515AA1">
              <w:rPr>
                <w:bCs/>
              </w:rPr>
              <w:t>5</w:t>
            </w:r>
          </w:p>
        </w:tc>
        <w:tc>
          <w:tcPr>
            <w:tcW w:w="487" w:type="pct"/>
            <w:vAlign w:val="center"/>
          </w:tcPr>
          <w:p w:rsidR="00912F95" w:rsidRPr="00515AA1" w:rsidRDefault="00912F95" w:rsidP="00515AA1">
            <w:pPr>
              <w:jc w:val="center"/>
              <w:rPr>
                <w:bCs/>
              </w:rPr>
            </w:pPr>
            <w:r w:rsidRPr="00515AA1">
              <w:rPr>
                <w:bCs/>
              </w:rPr>
              <w:t>6</w:t>
            </w:r>
          </w:p>
        </w:tc>
        <w:tc>
          <w:tcPr>
            <w:tcW w:w="487" w:type="pct"/>
            <w:vAlign w:val="center"/>
          </w:tcPr>
          <w:p w:rsidR="00912F95" w:rsidRPr="00515AA1" w:rsidRDefault="00912F95" w:rsidP="00515AA1">
            <w:pPr>
              <w:jc w:val="center"/>
              <w:rPr>
                <w:bCs/>
              </w:rPr>
            </w:pPr>
            <w:r w:rsidRPr="00515AA1">
              <w:rPr>
                <w:bCs/>
              </w:rPr>
              <w:t>7</w:t>
            </w:r>
          </w:p>
        </w:tc>
        <w:tc>
          <w:tcPr>
            <w:tcW w:w="446" w:type="pct"/>
            <w:vAlign w:val="center"/>
          </w:tcPr>
          <w:p w:rsidR="00912F95" w:rsidRPr="00515AA1" w:rsidRDefault="00912F95" w:rsidP="00515AA1">
            <w:pPr>
              <w:jc w:val="center"/>
              <w:rPr>
                <w:bCs/>
              </w:rPr>
            </w:pPr>
            <w:r w:rsidRPr="00515AA1">
              <w:rPr>
                <w:bCs/>
              </w:rPr>
              <w:t>8</w:t>
            </w:r>
          </w:p>
        </w:tc>
        <w:tc>
          <w:tcPr>
            <w:tcW w:w="477" w:type="pct"/>
            <w:vAlign w:val="center"/>
          </w:tcPr>
          <w:p w:rsidR="00912F95" w:rsidRPr="00515AA1" w:rsidRDefault="00912F95" w:rsidP="00515AA1">
            <w:pPr>
              <w:jc w:val="center"/>
              <w:rPr>
                <w:bCs/>
              </w:rPr>
            </w:pPr>
            <w:r w:rsidRPr="00515AA1">
              <w:rPr>
                <w:bCs/>
              </w:rPr>
              <w:t>9</w:t>
            </w:r>
          </w:p>
        </w:tc>
        <w:tc>
          <w:tcPr>
            <w:tcW w:w="525" w:type="pct"/>
            <w:vAlign w:val="center"/>
          </w:tcPr>
          <w:p w:rsidR="00912F95" w:rsidRPr="00515AA1" w:rsidRDefault="00912F95" w:rsidP="00515AA1">
            <w:pPr>
              <w:jc w:val="center"/>
              <w:rPr>
                <w:bCs/>
              </w:rPr>
            </w:pPr>
            <w:r w:rsidRPr="00515AA1">
              <w:rPr>
                <w:bCs/>
              </w:rPr>
              <w:t>10</w:t>
            </w:r>
          </w:p>
        </w:tc>
      </w:tr>
      <w:tr w:rsidR="004946D6" w:rsidRPr="00515AA1" w:rsidTr="00F64C54">
        <w:trPr>
          <w:trHeight w:val="789"/>
          <w:jc w:val="center"/>
        </w:trPr>
        <w:tc>
          <w:tcPr>
            <w:tcW w:w="388" w:type="pct"/>
            <w:vAlign w:val="center"/>
          </w:tcPr>
          <w:p w:rsidR="004946D6" w:rsidRPr="00515AA1" w:rsidRDefault="004946D6" w:rsidP="00E47471">
            <w:pPr>
              <w:pStyle w:val="afff"/>
              <w:numPr>
                <w:ilvl w:val="0"/>
                <w:numId w:val="24"/>
              </w:numPr>
              <w:tabs>
                <w:tab w:val="left" w:pos="534"/>
              </w:tabs>
              <w:ind w:left="0" w:firstLine="0"/>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shd w:val="clear" w:color="000000" w:fill="FFFFFF"/>
            <w:vAlign w:val="center"/>
          </w:tcPr>
          <w:p w:rsidR="004946D6" w:rsidRDefault="004946D6" w:rsidP="004946D6">
            <w:pPr>
              <w:jc w:val="center"/>
              <w:rPr>
                <w:color w:val="000000"/>
              </w:rPr>
            </w:pPr>
            <w:r>
              <w:rPr>
                <w:color w:val="000000"/>
              </w:rPr>
              <w:t>Напольное резиновое рифленое противоскользящее покрытие</w:t>
            </w:r>
          </w:p>
        </w:tc>
        <w:tc>
          <w:tcPr>
            <w:tcW w:w="681" w:type="pct"/>
            <w:vAlign w:val="center"/>
          </w:tcPr>
          <w:p w:rsidR="004946D6" w:rsidRPr="00515AA1" w:rsidRDefault="004946D6" w:rsidP="004946D6">
            <w:pPr>
              <w:jc w:val="center"/>
            </w:pPr>
            <w:r w:rsidRPr="00515AA1">
              <w:t xml:space="preserve">В соответствии с Частью </w:t>
            </w:r>
            <w:r w:rsidRPr="00515AA1">
              <w:rPr>
                <w:lang w:val="en-US"/>
              </w:rPr>
              <w:t>II</w:t>
            </w:r>
            <w:r w:rsidRPr="00515AA1">
              <w:t xml:space="preserve"> «Описание объекта закупки»</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946D6" w:rsidRDefault="004946D6" w:rsidP="004946D6">
            <w:pPr>
              <w:jc w:val="center"/>
              <w:rPr>
                <w:color w:val="000000"/>
              </w:rPr>
            </w:pPr>
            <w:r>
              <w:rPr>
                <w:color w:val="000000"/>
              </w:rPr>
              <w:t>рулон</w:t>
            </w:r>
          </w:p>
        </w:tc>
        <w:tc>
          <w:tcPr>
            <w:tcW w:w="389" w:type="pct"/>
            <w:tcBorders>
              <w:top w:val="single" w:sz="4" w:space="0" w:color="auto"/>
              <w:left w:val="nil"/>
              <w:bottom w:val="single" w:sz="4" w:space="0" w:color="auto"/>
              <w:right w:val="single" w:sz="4" w:space="0" w:color="auto"/>
            </w:tcBorders>
            <w:shd w:val="clear" w:color="auto" w:fill="auto"/>
            <w:vAlign w:val="center"/>
          </w:tcPr>
          <w:p w:rsidR="004946D6" w:rsidRDefault="004946D6" w:rsidP="004946D6">
            <w:pPr>
              <w:jc w:val="center"/>
              <w:rPr>
                <w:color w:val="000000"/>
              </w:rPr>
            </w:pPr>
            <w:r>
              <w:rPr>
                <w:color w:val="000000"/>
              </w:rPr>
              <w:t>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946D6" w:rsidRDefault="004946D6" w:rsidP="004946D6">
            <w:pPr>
              <w:jc w:val="center"/>
            </w:pPr>
            <w:r>
              <w:t>7900,00</w:t>
            </w:r>
          </w:p>
        </w:tc>
        <w:tc>
          <w:tcPr>
            <w:tcW w:w="487" w:type="pct"/>
            <w:tcBorders>
              <w:top w:val="single" w:sz="4" w:space="0" w:color="auto"/>
              <w:left w:val="nil"/>
              <w:bottom w:val="single" w:sz="4" w:space="0" w:color="auto"/>
              <w:right w:val="single" w:sz="4" w:space="0" w:color="auto"/>
            </w:tcBorders>
            <w:shd w:val="clear" w:color="auto" w:fill="auto"/>
            <w:vAlign w:val="center"/>
          </w:tcPr>
          <w:p w:rsidR="004946D6" w:rsidRDefault="004946D6" w:rsidP="004946D6">
            <w:pPr>
              <w:jc w:val="center"/>
            </w:pPr>
            <w:r>
              <w:t>8100,00</w:t>
            </w:r>
          </w:p>
        </w:tc>
        <w:tc>
          <w:tcPr>
            <w:tcW w:w="446" w:type="pct"/>
            <w:tcBorders>
              <w:top w:val="single" w:sz="4" w:space="0" w:color="auto"/>
              <w:left w:val="nil"/>
              <w:bottom w:val="single" w:sz="4" w:space="0" w:color="auto"/>
              <w:right w:val="single" w:sz="4" w:space="0" w:color="auto"/>
            </w:tcBorders>
            <w:shd w:val="clear" w:color="auto" w:fill="auto"/>
            <w:vAlign w:val="center"/>
          </w:tcPr>
          <w:p w:rsidR="004946D6" w:rsidRDefault="004946D6" w:rsidP="004946D6">
            <w:pPr>
              <w:jc w:val="center"/>
            </w:pPr>
            <w:r>
              <w:t>8337,50</w:t>
            </w:r>
          </w:p>
        </w:tc>
        <w:tc>
          <w:tcPr>
            <w:tcW w:w="477" w:type="pct"/>
            <w:tcBorders>
              <w:top w:val="single" w:sz="4" w:space="0" w:color="auto"/>
              <w:left w:val="nil"/>
              <w:bottom w:val="nil"/>
              <w:right w:val="single" w:sz="4" w:space="0" w:color="auto"/>
            </w:tcBorders>
            <w:shd w:val="clear" w:color="auto" w:fill="auto"/>
            <w:vAlign w:val="center"/>
          </w:tcPr>
          <w:p w:rsidR="004946D6" w:rsidRDefault="004946D6" w:rsidP="004946D6">
            <w:pPr>
              <w:jc w:val="center"/>
            </w:pPr>
            <w:r>
              <w:t>8112,50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4946D6" w:rsidRDefault="004946D6" w:rsidP="004946D6">
            <w:pPr>
              <w:jc w:val="center"/>
            </w:pPr>
            <w:r>
              <w:t>64900,00</w:t>
            </w:r>
          </w:p>
        </w:tc>
      </w:tr>
      <w:tr w:rsidR="004946D6" w:rsidRPr="00515AA1" w:rsidTr="00D031DC">
        <w:trPr>
          <w:trHeight w:val="789"/>
          <w:jc w:val="center"/>
        </w:trPr>
        <w:tc>
          <w:tcPr>
            <w:tcW w:w="388" w:type="pct"/>
            <w:vAlign w:val="center"/>
          </w:tcPr>
          <w:p w:rsidR="004946D6" w:rsidRPr="00515AA1" w:rsidRDefault="004946D6" w:rsidP="00E47471">
            <w:pPr>
              <w:pStyle w:val="afff"/>
              <w:numPr>
                <w:ilvl w:val="0"/>
                <w:numId w:val="24"/>
              </w:numPr>
              <w:tabs>
                <w:tab w:val="left" w:pos="534"/>
              </w:tabs>
              <w:ind w:left="0" w:firstLine="0"/>
              <w:jc w:val="center"/>
              <w:rPr>
                <w:sz w:val="20"/>
                <w:szCs w:val="20"/>
              </w:rPr>
            </w:pPr>
          </w:p>
        </w:tc>
        <w:tc>
          <w:tcPr>
            <w:tcW w:w="779" w:type="pct"/>
            <w:tcBorders>
              <w:top w:val="nil"/>
              <w:left w:val="single" w:sz="4" w:space="0" w:color="auto"/>
              <w:bottom w:val="nil"/>
              <w:right w:val="single" w:sz="4" w:space="0" w:color="auto"/>
            </w:tcBorders>
            <w:shd w:val="clear" w:color="000000" w:fill="FFFFFF"/>
            <w:vAlign w:val="center"/>
          </w:tcPr>
          <w:p w:rsidR="004946D6" w:rsidRDefault="004946D6" w:rsidP="004946D6">
            <w:pPr>
              <w:jc w:val="center"/>
            </w:pPr>
            <w:r>
              <w:t xml:space="preserve">Алюминиевый </w:t>
            </w:r>
            <w:r>
              <w:br/>
              <w:t xml:space="preserve">перекрывающий </w:t>
            </w:r>
            <w:bookmarkStart w:id="0" w:name="_GoBack"/>
            <w:bookmarkEnd w:id="0"/>
            <w:r>
              <w:t>стык</w:t>
            </w:r>
          </w:p>
        </w:tc>
        <w:tc>
          <w:tcPr>
            <w:tcW w:w="681" w:type="pct"/>
            <w:vAlign w:val="center"/>
          </w:tcPr>
          <w:p w:rsidR="004946D6" w:rsidRPr="00515AA1" w:rsidRDefault="004946D6" w:rsidP="004946D6">
            <w:pPr>
              <w:jc w:val="center"/>
            </w:pPr>
            <w:r w:rsidRPr="00515AA1">
              <w:t xml:space="preserve">В соответствии с Частью </w:t>
            </w:r>
            <w:r w:rsidRPr="00515AA1">
              <w:rPr>
                <w:lang w:val="en-US"/>
              </w:rPr>
              <w:t>II</w:t>
            </w:r>
            <w:r w:rsidRPr="00515AA1">
              <w:t xml:space="preserve"> «Описание объекта закупки»</w:t>
            </w:r>
          </w:p>
        </w:tc>
        <w:tc>
          <w:tcPr>
            <w:tcW w:w="341" w:type="pct"/>
            <w:tcBorders>
              <w:top w:val="nil"/>
              <w:left w:val="single" w:sz="4" w:space="0" w:color="auto"/>
              <w:bottom w:val="nil"/>
              <w:right w:val="single" w:sz="4" w:space="0" w:color="auto"/>
            </w:tcBorders>
            <w:shd w:val="clear" w:color="000000" w:fill="FFFFFF"/>
            <w:vAlign w:val="center"/>
          </w:tcPr>
          <w:p w:rsidR="004946D6" w:rsidRDefault="004946D6" w:rsidP="004946D6">
            <w:pPr>
              <w:jc w:val="center"/>
            </w:pPr>
            <w:r>
              <w:t>шт.</w:t>
            </w:r>
          </w:p>
        </w:tc>
        <w:tc>
          <w:tcPr>
            <w:tcW w:w="389" w:type="pct"/>
            <w:tcBorders>
              <w:top w:val="nil"/>
              <w:left w:val="nil"/>
              <w:bottom w:val="single" w:sz="4" w:space="0" w:color="auto"/>
              <w:right w:val="single" w:sz="4" w:space="0" w:color="auto"/>
            </w:tcBorders>
            <w:shd w:val="clear" w:color="000000" w:fill="FFFFFF"/>
            <w:vAlign w:val="center"/>
          </w:tcPr>
          <w:p w:rsidR="004946D6" w:rsidRDefault="004946D6" w:rsidP="004946D6">
            <w:pPr>
              <w:jc w:val="center"/>
            </w:pPr>
            <w:r>
              <w:t>80</w:t>
            </w:r>
          </w:p>
        </w:tc>
        <w:tc>
          <w:tcPr>
            <w:tcW w:w="487" w:type="pct"/>
            <w:tcBorders>
              <w:top w:val="nil"/>
              <w:left w:val="single" w:sz="4" w:space="0" w:color="auto"/>
              <w:bottom w:val="single" w:sz="4" w:space="0" w:color="auto"/>
              <w:right w:val="single" w:sz="4" w:space="0" w:color="auto"/>
            </w:tcBorders>
            <w:shd w:val="clear" w:color="auto" w:fill="auto"/>
            <w:vAlign w:val="center"/>
          </w:tcPr>
          <w:p w:rsidR="004946D6" w:rsidRDefault="004946D6" w:rsidP="004946D6">
            <w:pPr>
              <w:jc w:val="center"/>
            </w:pPr>
            <w:r>
              <w:t>230,00</w:t>
            </w:r>
          </w:p>
        </w:tc>
        <w:tc>
          <w:tcPr>
            <w:tcW w:w="487" w:type="pct"/>
            <w:tcBorders>
              <w:top w:val="nil"/>
              <w:left w:val="nil"/>
              <w:bottom w:val="single" w:sz="4" w:space="0" w:color="auto"/>
              <w:right w:val="single" w:sz="4" w:space="0" w:color="auto"/>
            </w:tcBorders>
            <w:shd w:val="clear" w:color="auto" w:fill="auto"/>
            <w:vAlign w:val="center"/>
          </w:tcPr>
          <w:p w:rsidR="004946D6" w:rsidRDefault="004946D6" w:rsidP="004946D6">
            <w:pPr>
              <w:jc w:val="center"/>
            </w:pPr>
            <w:r>
              <w:t>235,00</w:t>
            </w:r>
          </w:p>
        </w:tc>
        <w:tc>
          <w:tcPr>
            <w:tcW w:w="446" w:type="pct"/>
            <w:tcBorders>
              <w:top w:val="nil"/>
              <w:left w:val="nil"/>
              <w:bottom w:val="single" w:sz="4" w:space="0" w:color="auto"/>
              <w:right w:val="single" w:sz="4" w:space="0" w:color="auto"/>
            </w:tcBorders>
            <w:shd w:val="clear" w:color="auto" w:fill="auto"/>
            <w:vAlign w:val="center"/>
          </w:tcPr>
          <w:p w:rsidR="004946D6" w:rsidRDefault="004946D6" w:rsidP="004946D6">
            <w:pPr>
              <w:jc w:val="center"/>
            </w:pPr>
            <w:r>
              <w:t>233,74</w:t>
            </w:r>
          </w:p>
        </w:tc>
        <w:tc>
          <w:tcPr>
            <w:tcW w:w="477" w:type="pct"/>
            <w:tcBorders>
              <w:top w:val="single" w:sz="4" w:space="0" w:color="auto"/>
              <w:left w:val="nil"/>
              <w:bottom w:val="nil"/>
              <w:right w:val="single" w:sz="4" w:space="0" w:color="auto"/>
            </w:tcBorders>
            <w:shd w:val="clear" w:color="auto" w:fill="auto"/>
            <w:vAlign w:val="center"/>
          </w:tcPr>
          <w:p w:rsidR="004946D6" w:rsidRDefault="004946D6" w:rsidP="004946D6">
            <w:pPr>
              <w:jc w:val="center"/>
            </w:pPr>
            <w:r>
              <w:t>232,91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4946D6" w:rsidRDefault="004946D6" w:rsidP="004946D6">
            <w:pPr>
              <w:jc w:val="center"/>
            </w:pPr>
            <w:r>
              <w:t>18632,80</w:t>
            </w:r>
          </w:p>
        </w:tc>
      </w:tr>
      <w:tr w:rsidR="004946D6" w:rsidRPr="00515AA1" w:rsidTr="00D031DC">
        <w:trPr>
          <w:trHeight w:val="789"/>
          <w:jc w:val="center"/>
        </w:trPr>
        <w:tc>
          <w:tcPr>
            <w:tcW w:w="388" w:type="pct"/>
            <w:vAlign w:val="center"/>
          </w:tcPr>
          <w:p w:rsidR="004946D6" w:rsidRPr="00515AA1" w:rsidRDefault="004946D6" w:rsidP="00E47471">
            <w:pPr>
              <w:pStyle w:val="afff"/>
              <w:numPr>
                <w:ilvl w:val="0"/>
                <w:numId w:val="24"/>
              </w:numPr>
              <w:tabs>
                <w:tab w:val="left" w:pos="534"/>
              </w:tabs>
              <w:ind w:left="0" w:firstLine="0"/>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shd w:val="clear" w:color="000000" w:fill="FFFFFF"/>
            <w:vAlign w:val="center"/>
          </w:tcPr>
          <w:p w:rsidR="004946D6" w:rsidRDefault="004946D6" w:rsidP="004946D6">
            <w:pPr>
              <w:jc w:val="center"/>
              <w:rPr>
                <w:color w:val="000000"/>
              </w:rPr>
            </w:pPr>
            <w:r>
              <w:rPr>
                <w:color w:val="000000"/>
              </w:rPr>
              <w:t>Алюминиевые прямые профили (полоски, накладки) с резиновой вставкой</w:t>
            </w:r>
          </w:p>
        </w:tc>
        <w:tc>
          <w:tcPr>
            <w:tcW w:w="681" w:type="pct"/>
            <w:vAlign w:val="center"/>
          </w:tcPr>
          <w:p w:rsidR="004946D6" w:rsidRPr="00515AA1" w:rsidRDefault="004946D6" w:rsidP="004946D6">
            <w:pPr>
              <w:jc w:val="center"/>
            </w:pPr>
            <w:r w:rsidRPr="00515AA1">
              <w:t xml:space="preserve">В соответствии с Частью </w:t>
            </w:r>
            <w:r w:rsidRPr="00515AA1">
              <w:rPr>
                <w:lang w:val="en-US"/>
              </w:rPr>
              <w:t>II</w:t>
            </w:r>
            <w:r w:rsidRPr="00515AA1">
              <w:t xml:space="preserve"> «Описание объекта закупки»</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946D6" w:rsidRDefault="004946D6" w:rsidP="004946D6">
            <w:pPr>
              <w:jc w:val="center"/>
              <w:rPr>
                <w:color w:val="000000"/>
              </w:rPr>
            </w:pPr>
            <w:r>
              <w:rPr>
                <w:color w:val="000000"/>
              </w:rPr>
              <w:t>шт.</w:t>
            </w:r>
          </w:p>
        </w:tc>
        <w:tc>
          <w:tcPr>
            <w:tcW w:w="389" w:type="pct"/>
            <w:tcBorders>
              <w:top w:val="nil"/>
              <w:left w:val="nil"/>
              <w:bottom w:val="single" w:sz="4" w:space="0" w:color="auto"/>
              <w:right w:val="single" w:sz="4" w:space="0" w:color="auto"/>
            </w:tcBorders>
            <w:shd w:val="clear" w:color="auto" w:fill="auto"/>
            <w:vAlign w:val="center"/>
          </w:tcPr>
          <w:p w:rsidR="004946D6" w:rsidRDefault="004946D6" w:rsidP="004946D6">
            <w:pPr>
              <w:jc w:val="center"/>
              <w:rPr>
                <w:color w:val="000000"/>
              </w:rPr>
            </w:pPr>
            <w:r>
              <w:rPr>
                <w:color w:val="000000"/>
              </w:rPr>
              <w:t>100</w:t>
            </w:r>
          </w:p>
        </w:tc>
        <w:tc>
          <w:tcPr>
            <w:tcW w:w="487" w:type="pct"/>
            <w:tcBorders>
              <w:top w:val="nil"/>
              <w:left w:val="single" w:sz="4" w:space="0" w:color="auto"/>
              <w:bottom w:val="single" w:sz="4" w:space="0" w:color="auto"/>
              <w:right w:val="single" w:sz="4" w:space="0" w:color="auto"/>
            </w:tcBorders>
            <w:shd w:val="clear" w:color="auto" w:fill="auto"/>
            <w:vAlign w:val="center"/>
          </w:tcPr>
          <w:p w:rsidR="004946D6" w:rsidRDefault="004946D6" w:rsidP="004946D6">
            <w:pPr>
              <w:jc w:val="center"/>
            </w:pPr>
            <w:r>
              <w:t>180,00</w:t>
            </w:r>
          </w:p>
        </w:tc>
        <w:tc>
          <w:tcPr>
            <w:tcW w:w="487" w:type="pct"/>
            <w:tcBorders>
              <w:top w:val="nil"/>
              <w:left w:val="nil"/>
              <w:bottom w:val="single" w:sz="4" w:space="0" w:color="auto"/>
              <w:right w:val="single" w:sz="4" w:space="0" w:color="auto"/>
            </w:tcBorders>
            <w:shd w:val="clear" w:color="auto" w:fill="auto"/>
            <w:vAlign w:val="center"/>
          </w:tcPr>
          <w:p w:rsidR="004946D6" w:rsidRDefault="004946D6" w:rsidP="004946D6">
            <w:pPr>
              <w:jc w:val="center"/>
            </w:pPr>
            <w:r>
              <w:t>151,00</w:t>
            </w:r>
          </w:p>
        </w:tc>
        <w:tc>
          <w:tcPr>
            <w:tcW w:w="446" w:type="pct"/>
            <w:tcBorders>
              <w:top w:val="nil"/>
              <w:left w:val="nil"/>
              <w:bottom w:val="single" w:sz="4" w:space="0" w:color="auto"/>
              <w:right w:val="single" w:sz="4" w:space="0" w:color="auto"/>
            </w:tcBorders>
            <w:shd w:val="clear" w:color="auto" w:fill="auto"/>
            <w:vAlign w:val="center"/>
          </w:tcPr>
          <w:p w:rsidR="004946D6" w:rsidRDefault="004946D6" w:rsidP="004946D6">
            <w:pPr>
              <w:jc w:val="center"/>
            </w:pPr>
            <w:r>
              <w:t>163,00</w:t>
            </w:r>
          </w:p>
        </w:tc>
        <w:tc>
          <w:tcPr>
            <w:tcW w:w="477" w:type="pct"/>
            <w:tcBorders>
              <w:top w:val="single" w:sz="4" w:space="0" w:color="auto"/>
              <w:left w:val="nil"/>
              <w:bottom w:val="nil"/>
              <w:right w:val="single" w:sz="4" w:space="0" w:color="auto"/>
            </w:tcBorders>
            <w:shd w:val="clear" w:color="auto" w:fill="auto"/>
            <w:vAlign w:val="center"/>
          </w:tcPr>
          <w:p w:rsidR="004946D6" w:rsidRDefault="004946D6" w:rsidP="004946D6">
            <w:pPr>
              <w:jc w:val="center"/>
            </w:pPr>
            <w:r>
              <w:t>164,67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4946D6" w:rsidRDefault="004946D6" w:rsidP="004946D6">
            <w:pPr>
              <w:jc w:val="center"/>
            </w:pPr>
            <w:r>
              <w:t>16467,00</w:t>
            </w:r>
          </w:p>
        </w:tc>
      </w:tr>
      <w:tr w:rsidR="004946D6" w:rsidRPr="00515AA1" w:rsidTr="002B158D">
        <w:trPr>
          <w:trHeight w:val="390"/>
          <w:jc w:val="center"/>
        </w:trPr>
        <w:tc>
          <w:tcPr>
            <w:tcW w:w="4475" w:type="pct"/>
            <w:gridSpan w:val="9"/>
            <w:vAlign w:val="center"/>
          </w:tcPr>
          <w:p w:rsidR="004946D6" w:rsidRPr="00515AA1" w:rsidRDefault="004946D6" w:rsidP="004946D6">
            <w:pPr>
              <w:jc w:val="center"/>
              <w:rPr>
                <w:i/>
                <w:highlight w:val="yellow"/>
              </w:rPr>
            </w:pPr>
            <w:r w:rsidRPr="00515AA1">
              <w:rPr>
                <w:bCs/>
              </w:rPr>
              <w:t>Начальная (максимальная) цена контракта, рублей</w:t>
            </w:r>
          </w:p>
        </w:tc>
        <w:tc>
          <w:tcPr>
            <w:tcW w:w="525" w:type="pct"/>
            <w:tcBorders>
              <w:top w:val="single" w:sz="4" w:space="0" w:color="auto"/>
              <w:left w:val="single" w:sz="4" w:space="0" w:color="auto"/>
              <w:bottom w:val="single" w:sz="4" w:space="0" w:color="auto"/>
              <w:right w:val="single" w:sz="4" w:space="0" w:color="000000"/>
            </w:tcBorders>
            <w:shd w:val="clear" w:color="auto" w:fill="auto"/>
            <w:vAlign w:val="center"/>
          </w:tcPr>
          <w:p w:rsidR="004946D6" w:rsidRDefault="004946D6" w:rsidP="004946D6">
            <w:pPr>
              <w:jc w:val="center"/>
              <w:rPr>
                <w:b/>
                <w:bCs/>
                <w:color w:val="000000"/>
              </w:rPr>
            </w:pPr>
            <w:r>
              <w:rPr>
                <w:b/>
                <w:bCs/>
                <w:color w:val="000000"/>
              </w:rPr>
              <w:t>99999,80</w:t>
            </w:r>
          </w:p>
        </w:tc>
      </w:tr>
    </w:tbl>
    <w:p w:rsidR="003222AD" w:rsidRPr="007D79B2" w:rsidRDefault="003222AD" w:rsidP="003222AD">
      <w:pPr>
        <w:spacing w:after="0" w:line="240" w:lineRule="auto"/>
        <w:jc w:val="both"/>
        <w:rPr>
          <w:rFonts w:ascii="Liberation Serif" w:eastAsia="Times New Roman" w:hAnsi="Liberation Serif" w:cs="Liberation Serif"/>
          <w:sz w:val="24"/>
          <w:szCs w:val="24"/>
          <w:lang w:eastAsia="ru-RU"/>
        </w:rPr>
      </w:pP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r w:rsidRPr="00D02820">
        <w:rPr>
          <w:rFonts w:ascii="Liberation Serif" w:eastAsia="Times New Roman" w:hAnsi="Liberation Serif" w:cs="Liberation Serif"/>
          <w:sz w:val="20"/>
          <w:szCs w:val="20"/>
          <w:lang w:eastAsia="ru-RU"/>
        </w:rPr>
        <w:t>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r w:rsidRPr="00D02820">
        <w:rPr>
          <w:rFonts w:ascii="Liberation Serif" w:eastAsia="Times New Roman" w:hAnsi="Liberation Serif" w:cs="Liberation Serif"/>
          <w:sz w:val="20"/>
          <w:szCs w:val="20"/>
          <w:lang w:eastAsia="ru-RU"/>
        </w:rPr>
        <w:t>Расчет начальной (максимальной) цены по позиции производится по формуле:</w:t>
      </w: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r w:rsidRPr="00D02820">
        <w:rPr>
          <w:rFonts w:ascii="Liberation Serif" w:eastAsia="Times New Roman" w:hAnsi="Liberation Serif" w:cs="Liberation Serif"/>
          <w:b/>
          <w:noProof/>
          <w:sz w:val="20"/>
          <w:szCs w:val="20"/>
          <w:lang w:eastAsia="ru-RU"/>
        </w:rPr>
        <w:drawing>
          <wp:inline distT="0" distB="0" distL="0" distR="0" wp14:anchorId="28E859C3" wp14:editId="74C86162">
            <wp:extent cx="3599180" cy="348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348615"/>
                    </a:xfrm>
                    <a:prstGeom prst="rect">
                      <a:avLst/>
                    </a:prstGeom>
                    <a:noFill/>
                  </pic:spPr>
                </pic:pic>
              </a:graphicData>
            </a:graphic>
          </wp:inline>
        </w:drawing>
      </w:r>
      <w:r w:rsidRPr="00D02820">
        <w:rPr>
          <w:rFonts w:ascii="Liberation Serif" w:eastAsia="Times New Roman" w:hAnsi="Liberation Serif" w:cs="Liberation Serif"/>
          <w:sz w:val="20"/>
          <w:szCs w:val="20"/>
          <w:lang w:eastAsia="ru-RU"/>
        </w:rPr>
        <w:t>,</w:t>
      </w: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r w:rsidRPr="00D02820">
        <w:rPr>
          <w:rFonts w:ascii="Liberation Serif" w:eastAsia="Times New Roman" w:hAnsi="Liberation Serif" w:cs="Liberation Serif"/>
          <w:sz w:val="20"/>
          <w:szCs w:val="20"/>
          <w:lang w:eastAsia="ru-RU"/>
        </w:rPr>
        <w:t>где:</w:t>
      </w: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r w:rsidRPr="00D02820">
        <w:rPr>
          <w:rFonts w:ascii="Liberation Serif" w:eastAsia="Times New Roman" w:hAnsi="Liberation Serif" w:cs="Liberation Serif"/>
          <w:sz w:val="20"/>
          <w:szCs w:val="20"/>
          <w:lang w:eastAsia="ru-RU"/>
        </w:rPr>
        <w:t xml:space="preserve">НМЦК </w:t>
      </w:r>
      <w:proofErr w:type="spellStart"/>
      <w:r w:rsidRPr="00D02820">
        <w:rPr>
          <w:rFonts w:ascii="Liberation Serif" w:eastAsia="Times New Roman" w:hAnsi="Liberation Serif" w:cs="Liberation Serif"/>
          <w:sz w:val="20"/>
          <w:szCs w:val="20"/>
          <w:lang w:eastAsia="ru-RU"/>
        </w:rPr>
        <w:t>рын</w:t>
      </w:r>
      <w:proofErr w:type="spellEnd"/>
      <w:r w:rsidRPr="00D02820">
        <w:rPr>
          <w:rFonts w:ascii="Liberation Serif" w:eastAsia="Times New Roman" w:hAnsi="Liberation Serif" w:cs="Liberation Serif"/>
          <w:sz w:val="20"/>
          <w:szCs w:val="20"/>
          <w:lang w:eastAsia="ru-RU"/>
        </w:rPr>
        <w:t>, определяемая методом сопоставимых рыночных цен (анализа рынка);</w:t>
      </w: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r w:rsidRPr="00D02820">
        <w:rPr>
          <w:rFonts w:ascii="Liberation Serif" w:eastAsia="Times New Roman" w:hAnsi="Liberation Serif" w:cs="Liberation Serif"/>
          <w:sz w:val="20"/>
          <w:szCs w:val="20"/>
          <w:lang w:eastAsia="ru-RU"/>
        </w:rPr>
        <w:t>v - количество (объем) закупаемого товара (работы, услуги);</w:t>
      </w: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r w:rsidRPr="00D02820">
        <w:rPr>
          <w:rFonts w:ascii="Liberation Serif" w:eastAsia="Times New Roman" w:hAnsi="Liberation Serif" w:cs="Liberation Serif"/>
          <w:sz w:val="20"/>
          <w:szCs w:val="20"/>
          <w:lang w:eastAsia="ru-RU"/>
        </w:rPr>
        <w:t>n - количество значений, используемых в расчете;</w:t>
      </w: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r w:rsidRPr="00D02820">
        <w:rPr>
          <w:rFonts w:ascii="Liberation Serif" w:eastAsia="Times New Roman" w:hAnsi="Liberation Serif" w:cs="Liberation Serif"/>
          <w:sz w:val="20"/>
          <w:szCs w:val="20"/>
          <w:lang w:eastAsia="ru-RU"/>
        </w:rPr>
        <w:t>i - номер источника ценовой информации;</w:t>
      </w:r>
    </w:p>
    <w:p w:rsidR="003222AD" w:rsidRPr="00D02820" w:rsidRDefault="003222AD" w:rsidP="003222AD">
      <w:pPr>
        <w:spacing w:after="0" w:line="240" w:lineRule="auto"/>
        <w:jc w:val="both"/>
        <w:rPr>
          <w:rFonts w:ascii="Liberation Serif" w:eastAsia="Times New Roman" w:hAnsi="Liberation Serif" w:cs="Liberation Serif"/>
          <w:sz w:val="20"/>
          <w:szCs w:val="20"/>
          <w:lang w:eastAsia="ru-RU"/>
        </w:rPr>
      </w:pPr>
      <w:proofErr w:type="spellStart"/>
      <w:r w:rsidRPr="00D02820">
        <w:rPr>
          <w:rFonts w:ascii="Liberation Serif" w:eastAsia="Times New Roman" w:hAnsi="Liberation Serif" w:cs="Liberation Serif"/>
          <w:sz w:val="20"/>
          <w:szCs w:val="20"/>
          <w:lang w:eastAsia="ru-RU"/>
        </w:rPr>
        <w:t>цi</w:t>
      </w:r>
      <w:proofErr w:type="spellEnd"/>
      <w:r w:rsidRPr="00D02820">
        <w:rPr>
          <w:rFonts w:ascii="Liberation Serif" w:eastAsia="Times New Roman" w:hAnsi="Liberation Serif" w:cs="Liberation Serif"/>
          <w:sz w:val="20"/>
          <w:szCs w:val="20"/>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222AD" w:rsidRDefault="003222AD" w:rsidP="003222AD">
      <w:pPr>
        <w:spacing w:after="0" w:line="240" w:lineRule="auto"/>
        <w:rPr>
          <w:rFonts w:ascii="Liberation Serif" w:eastAsia="Times New Roman" w:hAnsi="Liberation Serif" w:cs="Liberation Serif"/>
          <w:sz w:val="24"/>
          <w:szCs w:val="24"/>
          <w:lang w:eastAsia="ru-RU"/>
        </w:rPr>
      </w:pPr>
    </w:p>
    <w:p w:rsidR="00AD27B6" w:rsidRPr="007D79B2" w:rsidRDefault="00AD27B6" w:rsidP="003222AD">
      <w:pPr>
        <w:spacing w:after="0" w:line="240" w:lineRule="auto"/>
        <w:rPr>
          <w:rFonts w:ascii="Liberation Serif" w:eastAsia="Times New Roman" w:hAnsi="Liberation Serif" w:cs="Liberation Serif"/>
          <w:sz w:val="24"/>
          <w:szCs w:val="24"/>
          <w:lang w:eastAsia="ru-RU"/>
        </w:rPr>
      </w:pPr>
    </w:p>
    <w:p w:rsidR="00912F95" w:rsidRPr="007D79B2" w:rsidRDefault="003222AD" w:rsidP="003222AD">
      <w:pPr>
        <w:rPr>
          <w:rFonts w:ascii="Liberation Serif" w:hAnsi="Liberation Serif" w:cs="Liberation Serif"/>
        </w:rPr>
      </w:pPr>
      <w:r w:rsidRPr="007D79B2">
        <w:rPr>
          <w:rFonts w:ascii="Liberation Serif" w:eastAsia="Times New Roman" w:hAnsi="Liberation Serif" w:cs="Liberation Serif"/>
          <w:sz w:val="24"/>
          <w:szCs w:val="24"/>
          <w:lang w:eastAsia="ru-RU"/>
        </w:rPr>
        <w:lastRenderedPageBreak/>
        <w:t>Р</w:t>
      </w:r>
      <w:r w:rsidR="00755F3F">
        <w:rPr>
          <w:rFonts w:ascii="Liberation Serif" w:eastAsia="Times New Roman" w:hAnsi="Liberation Serif" w:cs="Liberation Serif"/>
          <w:sz w:val="24"/>
          <w:szCs w:val="24"/>
          <w:lang w:eastAsia="ru-RU"/>
        </w:rPr>
        <w:t>уководитель</w:t>
      </w:r>
      <w:r w:rsidRPr="007D79B2">
        <w:rPr>
          <w:rFonts w:ascii="Liberation Serif" w:eastAsia="Times New Roman" w:hAnsi="Liberation Serif" w:cs="Liberation Serif"/>
          <w:sz w:val="24"/>
          <w:szCs w:val="24"/>
          <w:lang w:eastAsia="ru-RU"/>
        </w:rPr>
        <w:t xml:space="preserve"> контрактной службы</w:t>
      </w:r>
      <w:r w:rsidR="00755F3F">
        <w:rPr>
          <w:rFonts w:ascii="Liberation Serif" w:eastAsia="Times New Roman" w:hAnsi="Liberation Serif" w:cs="Liberation Serif"/>
          <w:sz w:val="24"/>
          <w:szCs w:val="24"/>
          <w:lang w:eastAsia="ru-RU"/>
        </w:rPr>
        <w:t xml:space="preserve">                 </w:t>
      </w:r>
      <w:r w:rsidRPr="007D79B2">
        <w:rPr>
          <w:rFonts w:ascii="Liberation Serif" w:eastAsia="Times New Roman" w:hAnsi="Liberation Serif" w:cs="Liberation Serif"/>
          <w:sz w:val="24"/>
          <w:szCs w:val="24"/>
          <w:lang w:eastAsia="ru-RU"/>
        </w:rPr>
        <w:t xml:space="preserve">                  _____________________/</w:t>
      </w:r>
      <w:r w:rsidR="007F382E">
        <w:rPr>
          <w:rFonts w:ascii="Liberation Serif" w:eastAsia="Times New Roman" w:hAnsi="Liberation Serif" w:cs="Liberation Serif"/>
          <w:sz w:val="24"/>
          <w:szCs w:val="24"/>
          <w:lang w:eastAsia="ru-RU"/>
        </w:rPr>
        <w:t>Харисов В.В.</w:t>
      </w:r>
      <w:r w:rsidRPr="007D79B2">
        <w:rPr>
          <w:rFonts w:ascii="Liberation Serif" w:eastAsia="Times New Roman" w:hAnsi="Liberation Serif" w:cs="Liberation Serif"/>
          <w:sz w:val="24"/>
          <w:szCs w:val="24"/>
          <w:lang w:eastAsia="ru-RU"/>
        </w:rPr>
        <w:br/>
        <w:t xml:space="preserve">                                                                                                            </w:t>
      </w:r>
      <w:r w:rsidRPr="00AD27B6">
        <w:rPr>
          <w:rFonts w:ascii="Liberation Serif" w:eastAsia="Times New Roman" w:hAnsi="Liberation Serif" w:cs="Liberation Serif"/>
          <w:sz w:val="20"/>
          <w:szCs w:val="20"/>
          <w:lang w:eastAsia="ru-RU"/>
        </w:rPr>
        <w:t>(</w:t>
      </w:r>
      <w:proofErr w:type="gramStart"/>
      <w:r w:rsidRPr="00AD27B6">
        <w:rPr>
          <w:rFonts w:ascii="Liberation Serif" w:eastAsia="Times New Roman" w:hAnsi="Liberation Serif" w:cs="Liberation Serif"/>
          <w:sz w:val="20"/>
          <w:szCs w:val="20"/>
          <w:lang w:eastAsia="ru-RU"/>
        </w:rPr>
        <w:t>подпись)</w:t>
      </w:r>
      <w:r w:rsidRPr="007D79B2">
        <w:rPr>
          <w:rFonts w:ascii="Liberation Serif" w:eastAsia="Times New Roman" w:hAnsi="Liberation Serif" w:cs="Liberation Serif"/>
          <w:sz w:val="24"/>
          <w:szCs w:val="24"/>
          <w:lang w:eastAsia="ru-RU"/>
        </w:rPr>
        <w:t xml:space="preserve">   </w:t>
      </w:r>
      <w:proofErr w:type="gramEnd"/>
      <w:r w:rsidRPr="007D79B2">
        <w:rPr>
          <w:rFonts w:ascii="Liberation Serif" w:eastAsia="Times New Roman" w:hAnsi="Liberation Serif" w:cs="Liberation Serif"/>
          <w:sz w:val="24"/>
          <w:szCs w:val="24"/>
          <w:lang w:eastAsia="ru-RU"/>
        </w:rPr>
        <w:br/>
        <w:t xml:space="preserve">    «___» ______________ 20</w:t>
      </w:r>
      <w:r w:rsidR="007F382E">
        <w:rPr>
          <w:rFonts w:ascii="Liberation Serif" w:eastAsia="Times New Roman" w:hAnsi="Liberation Serif" w:cs="Liberation Serif"/>
          <w:sz w:val="24"/>
          <w:szCs w:val="24"/>
          <w:lang w:eastAsia="ru-RU"/>
        </w:rPr>
        <w:t>20</w:t>
      </w:r>
      <w:r w:rsidRPr="007D79B2">
        <w:rPr>
          <w:rFonts w:ascii="Liberation Serif" w:eastAsia="Times New Roman" w:hAnsi="Liberation Serif" w:cs="Liberation Serif"/>
          <w:sz w:val="24"/>
          <w:szCs w:val="24"/>
          <w:lang w:eastAsia="ru-RU"/>
        </w:rPr>
        <w:t xml:space="preserve"> г.</w:t>
      </w:r>
      <w:r w:rsidRPr="007D79B2">
        <w:rPr>
          <w:rFonts w:ascii="Liberation Serif" w:eastAsia="Times New Roman" w:hAnsi="Liberation Serif" w:cs="Liberation Serif"/>
          <w:sz w:val="24"/>
          <w:szCs w:val="24"/>
          <w:lang w:eastAsia="ru-RU"/>
        </w:rPr>
        <w:br/>
        <w:t xml:space="preserve">    </w:t>
      </w:r>
      <w:r w:rsidRPr="007D79B2">
        <w:rPr>
          <w:rFonts w:ascii="Liberation Serif" w:eastAsia="Times New Roman" w:hAnsi="Liberation Serif" w:cs="Liberation Serif"/>
          <w:sz w:val="24"/>
          <w:szCs w:val="24"/>
          <w:lang w:eastAsia="ru-RU"/>
        </w:rPr>
        <w:br/>
      </w:r>
      <w:r w:rsidR="004946D6">
        <w:rPr>
          <w:rFonts w:ascii="Liberation Serif" w:eastAsia="Times New Roman" w:hAnsi="Liberation Serif" w:cs="Liberation Serif"/>
          <w:sz w:val="24"/>
          <w:szCs w:val="24"/>
          <w:lang w:eastAsia="ru-RU"/>
        </w:rPr>
        <w:t>Мальцева К.В</w:t>
      </w:r>
      <w:r w:rsidR="00E66FEF" w:rsidRPr="000522AC">
        <w:rPr>
          <w:rFonts w:ascii="Liberation Serif" w:eastAsia="Times New Roman" w:hAnsi="Liberation Serif" w:cs="Liberation Serif"/>
          <w:sz w:val="24"/>
          <w:szCs w:val="24"/>
          <w:lang w:eastAsia="ru-RU"/>
        </w:rPr>
        <w:t>.</w:t>
      </w:r>
      <w:r w:rsidRPr="000522AC">
        <w:rPr>
          <w:rFonts w:ascii="Liberation Serif" w:eastAsia="Times New Roman" w:hAnsi="Liberation Serif" w:cs="Liberation Serif"/>
          <w:sz w:val="24"/>
          <w:szCs w:val="24"/>
          <w:lang w:eastAsia="ru-RU"/>
        </w:rPr>
        <w:t>/</w:t>
      </w:r>
      <w:r w:rsidR="007F382E" w:rsidRPr="000522AC">
        <w:rPr>
          <w:rFonts w:ascii="Liberation Serif" w:eastAsia="Times New Roman" w:hAnsi="Liberation Serif" w:cs="Liberation Serif"/>
          <w:sz w:val="24"/>
          <w:szCs w:val="24"/>
          <w:lang w:eastAsia="ru-RU"/>
        </w:rPr>
        <w:t>тел</w:t>
      </w:r>
      <w:r w:rsidR="007F382E">
        <w:rPr>
          <w:rFonts w:ascii="Liberation Serif" w:eastAsia="Times New Roman" w:hAnsi="Liberation Serif" w:cs="Liberation Serif"/>
          <w:sz w:val="24"/>
          <w:szCs w:val="24"/>
          <w:lang w:eastAsia="ru-RU"/>
        </w:rPr>
        <w:t xml:space="preserve">. </w:t>
      </w:r>
      <w:r w:rsidR="007F382E" w:rsidRPr="007F382E">
        <w:rPr>
          <w:rFonts w:ascii="Liberation Serif" w:eastAsia="Times New Roman" w:hAnsi="Liberation Serif" w:cs="Liberation Serif"/>
          <w:sz w:val="24"/>
          <w:szCs w:val="24"/>
          <w:lang w:eastAsia="ru-RU"/>
        </w:rPr>
        <w:t>8-343-2730008</w:t>
      </w:r>
    </w:p>
    <w:sectPr w:rsidR="00912F95" w:rsidRPr="007D79B2" w:rsidSect="00755F3F">
      <w:headerReference w:type="default" r:id="rId9"/>
      <w:footerReference w:type="even" r:id="rId10"/>
      <w:footerReference w:type="default" r:id="rId11"/>
      <w:pgSz w:w="16838" w:h="11905" w:orient="landscape"/>
      <w:pgMar w:top="567" w:right="1134" w:bottom="568" w:left="1134" w:header="284" w:footer="0" w:gutter="0"/>
      <w:pgNumType w:start="9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869" w:rsidRDefault="00525869" w:rsidP="001A3B3A">
      <w:pPr>
        <w:spacing w:after="0" w:line="240" w:lineRule="auto"/>
      </w:pPr>
      <w:r>
        <w:separator/>
      </w:r>
    </w:p>
  </w:endnote>
  <w:endnote w:type="continuationSeparator" w:id="0">
    <w:p w:rsidR="00525869" w:rsidRDefault="00525869"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00000287"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B" w:rsidRDefault="00922C8B" w:rsidP="00922C8B">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22C8B" w:rsidRDefault="00922C8B" w:rsidP="00922C8B">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B" w:rsidRDefault="00922C8B" w:rsidP="00922C8B">
    <w:pPr>
      <w:pStyle w:val="afc"/>
      <w:ind w:right="360"/>
      <w:jc w:val="right"/>
    </w:pPr>
  </w:p>
  <w:p w:rsidR="00922C8B" w:rsidRDefault="00922C8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869" w:rsidRDefault="00525869" w:rsidP="001A3B3A">
      <w:pPr>
        <w:spacing w:after="0" w:line="240" w:lineRule="auto"/>
      </w:pPr>
      <w:r>
        <w:separator/>
      </w:r>
    </w:p>
  </w:footnote>
  <w:footnote w:type="continuationSeparator" w:id="0">
    <w:p w:rsidR="00525869" w:rsidRDefault="00525869" w:rsidP="001A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23" w:rsidRPr="00757623" w:rsidRDefault="00757623">
    <w:pPr>
      <w:pStyle w:val="afe"/>
      <w:jc w:val="center"/>
      <w:rPr>
        <w:rFonts w:ascii="Liberation Serif" w:hAnsi="Liberation Serif" w:cs="Liberation Serif"/>
      </w:rPr>
    </w:pPr>
  </w:p>
  <w:p w:rsidR="00922C8B" w:rsidRDefault="00922C8B">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15:restartNumberingAfterBreak="0">
    <w:nsid w:val="6D924CC2"/>
    <w:multiLevelType w:val="hybridMultilevel"/>
    <w:tmpl w:val="09289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D9"/>
    <w:rsid w:val="000159EE"/>
    <w:rsid w:val="00040057"/>
    <w:rsid w:val="000522AC"/>
    <w:rsid w:val="000554F6"/>
    <w:rsid w:val="00094E95"/>
    <w:rsid w:val="000D32CA"/>
    <w:rsid w:val="000F4751"/>
    <w:rsid w:val="0013312B"/>
    <w:rsid w:val="001343D8"/>
    <w:rsid w:val="001362C3"/>
    <w:rsid w:val="001441C8"/>
    <w:rsid w:val="00193855"/>
    <w:rsid w:val="001A3B3A"/>
    <w:rsid w:val="001A49AD"/>
    <w:rsid w:val="001A54B4"/>
    <w:rsid w:val="001C46E7"/>
    <w:rsid w:val="002224C8"/>
    <w:rsid w:val="002407B8"/>
    <w:rsid w:val="002639DB"/>
    <w:rsid w:val="00291D9D"/>
    <w:rsid w:val="002956A6"/>
    <w:rsid w:val="002E507C"/>
    <w:rsid w:val="002F7381"/>
    <w:rsid w:val="00301800"/>
    <w:rsid w:val="003222AD"/>
    <w:rsid w:val="00362BCE"/>
    <w:rsid w:val="00376C42"/>
    <w:rsid w:val="00394C1C"/>
    <w:rsid w:val="003B37C0"/>
    <w:rsid w:val="004261F9"/>
    <w:rsid w:val="00435994"/>
    <w:rsid w:val="00447D63"/>
    <w:rsid w:val="0047417E"/>
    <w:rsid w:val="00475CA6"/>
    <w:rsid w:val="004811ED"/>
    <w:rsid w:val="004946D6"/>
    <w:rsid w:val="004B13E9"/>
    <w:rsid w:val="004D3D5A"/>
    <w:rsid w:val="00515AA1"/>
    <w:rsid w:val="005229B0"/>
    <w:rsid w:val="00525869"/>
    <w:rsid w:val="005267A3"/>
    <w:rsid w:val="00527AB6"/>
    <w:rsid w:val="00550856"/>
    <w:rsid w:val="00571CC3"/>
    <w:rsid w:val="005813E2"/>
    <w:rsid w:val="005A3277"/>
    <w:rsid w:val="005B74A4"/>
    <w:rsid w:val="005C5105"/>
    <w:rsid w:val="005E7059"/>
    <w:rsid w:val="005F48ED"/>
    <w:rsid w:val="005F6BE7"/>
    <w:rsid w:val="00602EF4"/>
    <w:rsid w:val="006228D7"/>
    <w:rsid w:val="0065716E"/>
    <w:rsid w:val="006B149C"/>
    <w:rsid w:val="006B1BDE"/>
    <w:rsid w:val="006D7B03"/>
    <w:rsid w:val="0072087E"/>
    <w:rsid w:val="00737754"/>
    <w:rsid w:val="007412CD"/>
    <w:rsid w:val="00755F3F"/>
    <w:rsid w:val="00757623"/>
    <w:rsid w:val="00771365"/>
    <w:rsid w:val="00785A83"/>
    <w:rsid w:val="00795908"/>
    <w:rsid w:val="007A4403"/>
    <w:rsid w:val="007D3749"/>
    <w:rsid w:val="007D79B2"/>
    <w:rsid w:val="007F382E"/>
    <w:rsid w:val="007F43E4"/>
    <w:rsid w:val="00833E4F"/>
    <w:rsid w:val="00843736"/>
    <w:rsid w:val="00853D76"/>
    <w:rsid w:val="00875B57"/>
    <w:rsid w:val="00875CF1"/>
    <w:rsid w:val="00885167"/>
    <w:rsid w:val="008D1E19"/>
    <w:rsid w:val="008D36C0"/>
    <w:rsid w:val="008F3ABD"/>
    <w:rsid w:val="008F7731"/>
    <w:rsid w:val="00901796"/>
    <w:rsid w:val="00912F95"/>
    <w:rsid w:val="00922C8B"/>
    <w:rsid w:val="00935BA4"/>
    <w:rsid w:val="00950514"/>
    <w:rsid w:val="00986727"/>
    <w:rsid w:val="009E50A0"/>
    <w:rsid w:val="009E60A2"/>
    <w:rsid w:val="009F4DC3"/>
    <w:rsid w:val="00A23595"/>
    <w:rsid w:val="00A279D4"/>
    <w:rsid w:val="00A27A40"/>
    <w:rsid w:val="00A76FDE"/>
    <w:rsid w:val="00AC4217"/>
    <w:rsid w:val="00AC75FD"/>
    <w:rsid w:val="00AD27B6"/>
    <w:rsid w:val="00AD4AF0"/>
    <w:rsid w:val="00B05282"/>
    <w:rsid w:val="00B075A0"/>
    <w:rsid w:val="00B25EBD"/>
    <w:rsid w:val="00B433AA"/>
    <w:rsid w:val="00BB231A"/>
    <w:rsid w:val="00BD00D9"/>
    <w:rsid w:val="00C46BB3"/>
    <w:rsid w:val="00C60562"/>
    <w:rsid w:val="00CB1F7B"/>
    <w:rsid w:val="00CD0958"/>
    <w:rsid w:val="00CD62C7"/>
    <w:rsid w:val="00CF2050"/>
    <w:rsid w:val="00CF2F45"/>
    <w:rsid w:val="00D02820"/>
    <w:rsid w:val="00D21E6B"/>
    <w:rsid w:val="00D21EF9"/>
    <w:rsid w:val="00D774C0"/>
    <w:rsid w:val="00D92239"/>
    <w:rsid w:val="00DA2401"/>
    <w:rsid w:val="00DA46A6"/>
    <w:rsid w:val="00DF5801"/>
    <w:rsid w:val="00E208F9"/>
    <w:rsid w:val="00E37DA0"/>
    <w:rsid w:val="00E47471"/>
    <w:rsid w:val="00E50CF1"/>
    <w:rsid w:val="00E66FEF"/>
    <w:rsid w:val="00EA10E7"/>
    <w:rsid w:val="00F04ADB"/>
    <w:rsid w:val="00F20DC8"/>
    <w:rsid w:val="00F63863"/>
    <w:rsid w:val="00F711B0"/>
    <w:rsid w:val="00FD019A"/>
    <w:rsid w:val="00FE1C8F"/>
    <w:rsid w:val="00FE7407"/>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95E5B-4C6D-47D1-BC36-2EC28A2B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uiPriority w:val="99"/>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uiPriority w:val="99"/>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91253">
      <w:bodyDiv w:val="1"/>
      <w:marLeft w:val="0"/>
      <w:marRight w:val="0"/>
      <w:marTop w:val="0"/>
      <w:marBottom w:val="0"/>
      <w:divBdr>
        <w:top w:val="none" w:sz="0" w:space="0" w:color="auto"/>
        <w:left w:val="none" w:sz="0" w:space="0" w:color="auto"/>
        <w:bottom w:val="none" w:sz="0" w:space="0" w:color="auto"/>
        <w:right w:val="none" w:sz="0" w:space="0" w:color="auto"/>
      </w:divBdr>
    </w:div>
    <w:div w:id="17761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FAA0-8FC3-4E7E-8EF6-6422AA1B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Попова Евгения Александровна</cp:lastModifiedBy>
  <cp:revision>29</cp:revision>
  <cp:lastPrinted>2020-05-26T06:07:00Z</cp:lastPrinted>
  <dcterms:created xsi:type="dcterms:W3CDTF">2020-02-12T06:34:00Z</dcterms:created>
  <dcterms:modified xsi:type="dcterms:W3CDTF">2020-05-26T06:07:00Z</dcterms:modified>
</cp:coreProperties>
</file>