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Оказание услуг</w:t>
      </w:r>
      <w:r w:rsidRPr="00F14EF2">
        <w:rPr>
          <w:rFonts w:ascii="Liberation Serif" w:hAnsi="Liberation Serif" w:cs="Liberation Serif"/>
          <w:noProof/>
          <w:sz w:val="22"/>
          <w:szCs w:val="22"/>
        </w:rPr>
        <w:t xml:space="preserve"> междугородной телефонной связи</w:t>
      </w:r>
      <w:r w:rsidRPr="00F14EF2">
        <w:rPr>
          <w:rFonts w:ascii="Liberation Serif" w:hAnsi="Liberation Serif" w:cs="Liberation Serif"/>
          <w:b/>
          <w:sz w:val="22"/>
          <w:szCs w:val="22"/>
        </w:rPr>
        <w:t>»</w:t>
      </w:r>
    </w:p>
    <w:p w:rsidR="00BE2CD5" w:rsidRPr="00F14EF2" w:rsidP="00D82099">
      <w:pPr>
        <w:jc w:val="center"/>
        <w:rPr>
          <w:rFonts w:ascii="Liberation Serif" w:hAnsi="Liberation Serif" w:cs="Liberation Serif"/>
          <w:b/>
          <w:sz w:val="22"/>
          <w:szCs w:val="22"/>
        </w:rPr>
      </w:pPr>
    </w:p>
    <w:p w:rsidR="00BE2CD5" w:rsidRPr="00F14EF2" w:rsidP="00D82099">
      <w:pPr>
        <w:jc w:val="center"/>
        <w:rPr>
          <w:rFonts w:ascii="Liberation Serif" w:hAnsi="Liberation Serif" w:cs="Liberation Serif"/>
          <w:b/>
          <w:sz w:val="22"/>
          <w:szCs w:val="22"/>
        </w:rPr>
      </w:pPr>
    </w:p>
    <w:tbl>
      <w:tblPr>
        <w:tblW w:w="10433" w:type="dxa"/>
        <w:tblLook w:val="0000"/>
      </w:tblPr>
      <w:tblGrid>
        <w:gridCol w:w="5216"/>
        <w:gridCol w:w="5217"/>
      </w:tblGrid>
      <w:tr w:rsidTr="004750B0">
        <w:tblPrEx>
          <w:tblW w:w="10433" w:type="dxa"/>
          <w:tblLook w:val="0000"/>
        </w:tblPrEx>
        <w:trPr>
          <w:trHeight w:val="1080"/>
        </w:trPr>
        <w:tc>
          <w:tcPr>
            <w:tcW w:w="2500" w:type="pct"/>
            <w:vAlign w:val="center"/>
          </w:tcPr>
          <w:p w:rsidR="006A36AC" w:rsidRPr="00F14EF2" w:rsidP="00EA0D79">
            <w:pPr>
              <w:keepNext/>
              <w:keepLines/>
              <w:suppressLineNumbers/>
              <w:ind w:firstLine="680"/>
              <w:jc w:val="center"/>
              <w:rPr>
                <w:rFonts w:ascii="Liberation Serif" w:hAnsi="Liberation Serif" w:cs="Liberation Serif"/>
                <w:b/>
                <w:kern w:val="1"/>
                <w:sz w:val="22"/>
                <w:szCs w:val="22"/>
              </w:rPr>
            </w:pPr>
            <w:bookmarkStart w:id="0" w:name="org_type"/>
            <w:bookmarkEnd w:id="0"/>
            <w:r w:rsidRPr="00F14EF2">
              <w:rPr>
                <w:rFonts w:ascii="Liberation Serif" w:hAnsi="Liberation Serif" w:cs="Liberation Serif"/>
                <w:b/>
                <w:kern w:val="1"/>
                <w:sz w:val="22"/>
                <w:szCs w:val="22"/>
              </w:rPr>
              <w:t xml:space="preserve"> Заказчик (Государственный заказчик):</w:t>
            </w:r>
          </w:p>
        </w:tc>
        <w:tc>
          <w:tcPr>
            <w:tcW w:w="2500" w:type="pct"/>
            <w:vAlign w:val="center"/>
          </w:tcPr>
          <w:p w:rsidR="00D82099" w:rsidRPr="00F14EF2" w:rsidP="004750B0">
            <w:pPr>
              <w:snapToGrid w:val="0"/>
              <w:rPr>
                <w:rFonts w:ascii="Liberation Serif" w:hAnsi="Liberation Serif" w:cs="Liberation Serif"/>
                <w:b/>
                <w:bCs/>
                <w:sz w:val="22"/>
                <w:szCs w:val="22"/>
                <w:lang w:val="en-US"/>
              </w:rPr>
            </w:pPr>
            <w:bookmarkStart w:id="1" w:name="organizer"/>
            <w:bookmarkEnd w:id="1"/>
            <w:r w:rsidRPr="00F14EF2">
              <w:rPr>
                <w:rFonts w:ascii="Liberation Serif" w:hAnsi="Liberation Serif" w:cs="Liberation Serif"/>
                <w:noProof/>
                <w:sz w:val="22"/>
                <w:szCs w:val="22"/>
                <w:u w:val="single"/>
                <w:lang w:val="en-US"/>
              </w:rPr>
              <w:t>УПРАВЛЕНИЕ ЗАПИСИ</w:t>
            </w:r>
            <w:r w:rsidRPr="00F14EF2">
              <w:rPr>
                <w:rFonts w:ascii="Liberation Serif" w:hAnsi="Liberation Serif" w:cs="Liberation Serif"/>
                <w:sz w:val="22"/>
                <w:szCs w:val="22"/>
                <w:u w:val="single"/>
                <w:lang w:val="en-US"/>
              </w:rPr>
              <w:t xml:space="preserve"> АКТОВ ГРАЖДАНСКОГО СОСТОЯНИЯ СВЕРДЛОВСКОЙ ОБЛАСТИ</w:t>
            </w:r>
          </w:p>
        </w:tc>
      </w:tr>
    </w:tbl>
    <w:p w:rsidR="00D82099" w:rsidP="00D82099">
      <w:pPr>
        <w:keepLines/>
        <w:suppressLineNumbers/>
        <w:autoSpaceDE w:val="0"/>
        <w:rPr>
          <w:rFonts w:ascii="Liberation Serif" w:hAnsi="Liberation Serif" w:cs="Liberation Serif"/>
          <w:b/>
          <w:bCs/>
          <w:kern w:val="1"/>
          <w:sz w:val="22"/>
          <w:szCs w:val="22"/>
        </w:rPr>
      </w:pPr>
      <w:bookmarkStart w:id="2" w:name="small_owner"/>
      <w:bookmarkEnd w:id="2"/>
    </w:p>
    <w:p w:rsidR="003E0EE7" w:rsidRPr="003E0EE7" w:rsidP="003E0EE7">
      <w:pPr>
        <w:keepLines/>
        <w:suppressLineNumbers/>
        <w:autoSpaceDE w:val="0"/>
        <w:jc w:val="center"/>
        <w:rPr>
          <w:rFonts w:ascii="Liberation Serif" w:hAnsi="Liberation Serif" w:cs="Liberation Serif"/>
          <w:b/>
          <w:kern w:val="1"/>
          <w:sz w:val="22"/>
          <w:szCs w:val="22"/>
          <w:lang w:val="en-US"/>
        </w:rPr>
      </w:pPr>
      <w:r w:rsidRPr="003E0EE7">
        <w:rPr>
          <w:rFonts w:ascii="Liberation Serif" w:hAnsi="Liberation Serif" w:cs="Liberation Serif"/>
          <w:b/>
          <w:sz w:val="22"/>
          <w:szCs w:val="22"/>
        </w:rPr>
        <w:t>Идентификационный код закупки:</w:t>
      </w:r>
      <w:r w:rsidRPr="003E0EE7">
        <w:rPr>
          <w:rFonts w:ascii="Liberation Serif" w:hAnsi="Liberation Serif" w:cs="Liberation Serif"/>
          <w:b/>
          <w:sz w:val="22"/>
          <w:szCs w:val="22"/>
          <w:lang w:val="en-US"/>
        </w:rPr>
        <w:t xml:space="preserve"> </w:t>
      </w:r>
      <w:r w:rsidRPr="003E0EE7">
        <w:rPr>
          <w:rFonts w:ascii="Liberation Serif" w:hAnsi="Liberation Serif" w:cs="Liberation Serif"/>
          <w:b/>
          <w:noProof/>
          <w:sz w:val="22"/>
          <w:szCs w:val="22"/>
          <w:lang w:val="en-US"/>
        </w:rPr>
        <w:t>242665822333566580100103020016110244</w:t>
      </w:r>
    </w:p>
    <w:p w:rsidR="003E0EE7" w:rsidRPr="003E0EE7" w:rsidP="003E0EE7">
      <w:pPr>
        <w:keepLines/>
        <w:suppressLineNumbers/>
        <w:autoSpaceDE w:val="0"/>
        <w:rPr>
          <w:rFonts w:ascii="Liberation Serif" w:hAnsi="Liberation Serif" w:cs="Liberation Serif"/>
          <w:b/>
          <w:bCs/>
          <w:kern w:val="1"/>
          <w:sz w:val="22"/>
          <w:szCs w:val="22"/>
        </w:rPr>
      </w:pPr>
    </w:p>
    <w:p w:rsidR="003E0EE7" w:rsidRPr="00F14EF2" w:rsidP="00D82099">
      <w:pPr>
        <w:keepLines/>
        <w:suppressLineNumbers/>
        <w:autoSpaceDE w:val="0"/>
        <w:rPr>
          <w:rFonts w:ascii="Liberation Serif" w:hAnsi="Liberation Serif" w:cs="Liberation Serif"/>
          <w:b/>
          <w:bCs/>
          <w:kern w:val="1"/>
          <w:sz w:val="22"/>
          <w:szCs w:val="22"/>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9583"/>
      </w:tblGrid>
      <w:tr w:rsidTr="00166A85">
        <w:tblPrEx>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66A85">
        <w:tblPrEx>
          <w:tblW w:w="10434"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958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66A85">
        <w:tblPrEx>
          <w:tblW w:w="10434"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p>
          <w:p w:rsidR="004C291E" w:rsidRPr="004575C7" w:rsidP="005C640B">
            <w:pPr>
              <w:autoSpaceDE w:val="0"/>
              <w:rPr>
                <w:rFonts w:ascii="Liberation Serif" w:hAnsi="Liberation Serif" w:cs="Liberation Serif"/>
                <w:sz w:val="22"/>
                <w:szCs w:val="22"/>
                <w:lang w:val="en-US"/>
              </w:rPr>
            </w:pPr>
            <w:r w:rsidRPr="004575C7" w:rsidR="00121504">
              <w:rPr>
                <w:rFonts w:ascii="Liberation Serif" w:hAnsi="Liberation Serif" w:cs="Liberation Serif"/>
                <w:sz w:val="22"/>
                <w:szCs w:val="22"/>
                <w:lang w:val="en-US"/>
              </w:rPr>
              <w:t>___________</w:t>
            </w:r>
          </w:p>
          <w:p w:rsidR="003F5F08" w:rsidRPr="00F14EF2"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Наличие у участника закупки</w:t>
            </w:r>
            <w:r w:rsidRPr="004575C7">
              <w:rPr>
                <w:rFonts w:ascii="Liberation Serif" w:hAnsi="Liberation Serif" w:cs="Liberation Serif"/>
                <w:noProof/>
                <w:sz w:val="22"/>
                <w:szCs w:val="22"/>
                <w:lang w:val="en-US"/>
              </w:rPr>
              <w:t xml:space="preserve"> действующей лицензии, выданной федеральным органом исполнительной власти на осуществление деятельности в области оказания услуг связи.</w:t>
            </w:r>
          </w:p>
          <w:p w:rsidRPr="004575C7" w:rsidP="003F5F08">
            <w:pPr>
              <w:suppressLineNumbers/>
              <w:jc w:val="both"/>
              <w:rPr>
                <w:rFonts w:ascii="Liberation Serif" w:hAnsi="Liberation Serif" w:cs="Liberation Serif"/>
                <w:noProof/>
                <w:sz w:val="22"/>
                <w:szCs w:val="22"/>
                <w:lang w:val="en-US"/>
              </w:rPr>
            </w:pP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Наличие у участника закупки действующей лицензии подтверждается: </w:t>
            </w: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xml:space="preserve"> - наличием сведений об участнике закупки, содержащихся в реестре лицензий на сайте лицензирующего органа </w:t>
            </w: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или</w:t>
            </w: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 копией акта лицензирующего органа о принятом решении</w:t>
            </w:r>
          </w:p>
          <w:p w:rsidRPr="004575C7" w:rsidP="003F5F08">
            <w:pPr>
              <w:suppressLineNumbers/>
              <w:jc w:val="both"/>
              <w:rPr>
                <w:rFonts w:ascii="Liberation Serif" w:hAnsi="Liberation Serif" w:cs="Liberation Serif"/>
                <w:noProof/>
                <w:sz w:val="22"/>
                <w:szCs w:val="22"/>
                <w:lang w:val="en-US"/>
              </w:rPr>
            </w:pPr>
            <w:r w:rsidRPr="004575C7">
              <w:rPr>
                <w:rFonts w:ascii="Liberation Serif" w:hAnsi="Liberation Serif" w:cs="Liberation Serif"/>
                <w:noProof/>
                <w:sz w:val="22"/>
                <w:szCs w:val="22"/>
                <w:lang w:val="en-US"/>
              </w:rPr>
              <w:t>или</w:t>
            </w:r>
          </w:p>
          <w:p w:rsidRPr="004575C7"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Основание:</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п.</w:t>
            </w:r>
            <w:r w:rsidRPr="00F14EF2">
              <w:rPr>
                <w:rFonts w:ascii="Liberation Serif" w:hAnsi="Liberation Serif" w:cs="Liberation Serif"/>
                <w:i/>
                <w:noProof/>
                <w:sz w:val="22"/>
                <w:szCs w:val="22"/>
                <w:lang w:val="en-US"/>
              </w:rPr>
              <w:t>36 ч.1 ст. 12 Федерального закона от 04.05.2011 № 99-ФЗ «О лицензировании отдельных видов деятельности»;</w:t>
            </w:r>
          </w:p>
          <w:p w:rsidR="004C291E" w:rsidRPr="00F14EF2" w:rsidP="00121504">
            <w:pPr>
              <w:suppressLineNumbers/>
              <w:jc w:val="both"/>
              <w:rPr>
                <w:rFonts w:ascii="Liberation Serif" w:hAnsi="Liberation Serif" w:cs="Liberation Serif"/>
                <w:i/>
                <w:noProof/>
                <w:sz w:val="22"/>
                <w:szCs w:val="22"/>
                <w:lang w:val="en-US"/>
              </w:rPr>
            </w:pPr>
            <w:r w:rsidRPr="00F14EF2">
              <w:rPr>
                <w:rFonts w:ascii="Liberation Serif" w:hAnsi="Liberation Serif" w:cs="Liberation Serif"/>
                <w:i/>
                <w:noProof/>
                <w:sz w:val="22"/>
                <w:szCs w:val="22"/>
                <w:lang w:val="en-US"/>
              </w:rPr>
              <w:t>- ст. 29 Федерального закона от 07.07.2003 № 126-ФЗ «О связи»;</w:t>
            </w:r>
          </w:p>
          <w:p w:rsidRPr="00F14EF2" w:rsidP="00121504">
            <w:pPr>
              <w:suppressLineNumbers/>
              <w:jc w:val="both"/>
              <w:rPr>
                <w:rFonts w:ascii="Liberation Serif" w:hAnsi="Liberation Serif" w:cs="Liberation Serif"/>
                <w:sz w:val="22"/>
                <w:szCs w:val="22"/>
                <w:lang w:val="en-US"/>
              </w:rPr>
            </w:pPr>
            <w:r w:rsidRPr="00F14EF2" w:rsidR="004C291E">
              <w:rPr>
                <w:rFonts w:ascii="Liberation Serif" w:hAnsi="Liberation Serif" w:cs="Liberation Serif"/>
                <w:i/>
                <w:noProof/>
                <w:sz w:val="22"/>
                <w:szCs w:val="22"/>
                <w:lang w:val="en-US"/>
              </w:rPr>
              <w:t>- Постановление Правительства РФ от 30.12.2020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4C291E" w:rsidRPr="004575C7" w:rsidP="005C640B">
            <w:pPr>
              <w:autoSpaceDE w:val="0"/>
              <w:rPr>
                <w:rFonts w:ascii="Liberation Serif" w:hAnsi="Liberation Serif" w:cs="Liberation Serif"/>
                <w:sz w:val="22"/>
                <w:szCs w:val="22"/>
                <w:lang w:val="en-US"/>
              </w:rPr>
            </w:pPr>
            <w:r w:rsidRPr="004575C7" w:rsidR="00121504">
              <w:rPr>
                <w:rFonts w:ascii="Liberation Serif" w:hAnsi="Liberation Serif" w:cs="Liberation Serif"/>
                <w:sz w:val="22"/>
                <w:szCs w:val="22"/>
                <w:lang w:val="en-US"/>
              </w:rPr>
              <w:t>___________</w:t>
            </w:r>
          </w:p>
          <w:p w:rsidR="003F5F08" w:rsidRPr="00F14EF2"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Вид работ, услуг:</w:t>
            </w:r>
          </w:p>
          <w:p w:rsidRPr="004575C7" w:rsidP="003F5F08">
            <w:pPr>
              <w:suppressLineNumbers/>
              <w:jc w:val="both"/>
              <w:rPr>
                <w:rFonts w:ascii="Liberation Serif" w:hAnsi="Liberation Serif" w:cs="Liberation Serif"/>
                <w:sz w:val="22"/>
                <w:szCs w:val="22"/>
                <w:lang w:val="en-US"/>
              </w:rPr>
            </w:pPr>
            <w:r w:rsidRPr="004575C7">
              <w:rPr>
                <w:rFonts w:ascii="Liberation Serif" w:hAnsi="Liberation Serif" w:cs="Liberation Serif"/>
                <w:noProof/>
                <w:sz w:val="22"/>
                <w:szCs w:val="22"/>
                <w:lang w:val="en-US"/>
              </w:rPr>
              <w:t>2. Услуги междугородной и международной телефонной связи.</w:t>
            </w:r>
          </w:p>
          <w:p w:rsidR="00EC4055" w:rsidRPr="00F14EF2" w:rsidP="00121504">
            <w:pPr>
              <w:suppressLineNumbers/>
              <w:jc w:val="both"/>
              <w:rPr>
                <w:rFonts w:ascii="Liberation Serif" w:hAnsi="Liberation Serif" w:cs="Liberation Serif"/>
                <w:sz w:val="22"/>
                <w:szCs w:val="22"/>
                <w:lang w:val="en-US"/>
              </w:rPr>
            </w:pPr>
            <w:r w:rsidRPr="00F14EF2" w:rsidR="004C291E">
              <w:rPr>
                <w:rFonts w:ascii="Liberation Serif" w:hAnsi="Liberation Serif" w:cs="Liberation Serif"/>
                <w:i/>
                <w:noProof/>
                <w:sz w:val="22"/>
                <w:szCs w:val="22"/>
                <w:lang w:val="en-US"/>
              </w:rPr>
              <w:t>Постановление Правительства РФ от</w:t>
            </w:r>
            <w:r w:rsidRPr="00F14EF2" w:rsidR="004C291E">
              <w:rPr>
                <w:rFonts w:ascii="Liberation Serif" w:hAnsi="Liberation Serif" w:cs="Liberation Serif"/>
                <w:i/>
                <w:noProof/>
                <w:sz w:val="22"/>
                <w:szCs w:val="22"/>
                <w:lang w:val="en-US"/>
              </w:rPr>
              <w:t xml:space="preserve"> 30.12.2020 N 2385</w:t>
            </w:r>
          </w:p>
        </w:tc>
      </w:tr>
      <w:tr w:rsidTr="00166A85">
        <w:tblPrEx>
          <w:tblW w:w="10434"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66A85">
        <w:tblPrEx>
          <w:tblW w:w="10434"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 xml:space="preserve">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w:t>
            </w:r>
            <w:r w:rsidRPr="00F14EF2">
              <w:rPr>
                <w:rFonts w:ascii="Liberation Serif" w:hAnsi="Liberation Serif" w:cs="Liberation Serif"/>
                <w:noProof/>
                <w:sz w:val="22"/>
                <w:szCs w:val="22"/>
              </w:rPr>
              <w:t>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9583"/>
      </w:tblGrid>
      <w:tr w:rsidTr="00283C80">
        <w:tblPrEx>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B43D18">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0503E4">
              <w:rPr>
                <w:rFonts w:ascii="Liberation Serif" w:hAnsi="Liberation Serif" w:cs="Liberation Serif"/>
                <w:b/>
                <w:noProof/>
                <w:sz w:val="22"/>
                <w:szCs w:val="22"/>
              </w:rPr>
              <w:t>В СЛУЧАЕ ОСУЩЕСТВЛЕНИЯ ЗАКУПКИ РАБОТ ИЛИ УСЛУГ</w:t>
            </w:r>
            <w:r w:rsidR="00E00415">
              <w:rPr>
                <w:rFonts w:ascii="Liberation Serif" w:hAnsi="Liberation Serif" w:cs="Liberation Serif"/>
                <w:b/>
                <w:noProof/>
                <w:sz w:val="22"/>
                <w:szCs w:val="22"/>
              </w:rPr>
              <w:t xml:space="preserve"> без поставки товара</w:t>
            </w:r>
            <w:r>
              <w:rPr>
                <w:rFonts w:ascii="Liberation Serif" w:hAnsi="Liberation Serif" w:cs="Liberation Serif"/>
                <w:b/>
                <w:noProof/>
                <w:sz w:val="22"/>
                <w:szCs w:val="22"/>
              </w:rPr>
              <w:t>,</w:t>
            </w:r>
            <w:r w:rsidRPr="00F14EF2">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А ТАКЖЕ предложение участника закупки в отношении объекта закупки в случае осуществления закупки работ по строительству, реконструкции, капитальному ремонту, сносу объектов капитального строительства, при которых производится поставка товара (оборудования)</w:t>
            </w:r>
            <w:r w:rsidRPr="00F14EF2">
              <w:rPr>
                <w:rFonts w:ascii="Liberation Serif" w:hAnsi="Liberation Serif" w:cs="Liberation Serif"/>
                <w:b/>
                <w:noProof/>
                <w:sz w:val="22"/>
                <w:szCs w:val="22"/>
              </w:rPr>
              <w:t>:</w:t>
            </w:r>
          </w:p>
        </w:tc>
      </w:tr>
      <w:tr w:rsidTr="00283C80">
        <w:tblPrEx>
          <w:tblW w:w="10434" w:type="dxa"/>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P="00274CFC">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274CFC">
            <w:pPr>
              <w:suppressLineNumbers/>
              <w:jc w:val="both"/>
              <w:rPr>
                <w:rFonts w:ascii="Liberation Serif" w:hAnsi="Liberation Serif" w:cs="Liberation Serif"/>
                <w:noProof/>
                <w:sz w:val="22"/>
                <w:szCs w:val="22"/>
              </w:rPr>
            </w:pPr>
          </w:p>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283C80">
        <w:tblPrEx>
          <w:tblW w:w="10434" w:type="dxa"/>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Tr="00283C80">
        <w:tblPrEx>
          <w:tblW w:w="10434" w:type="dxa"/>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RPr="00A95D87" w:rsidP="00274CFC">
            <w:pPr>
              <w:suppressLineNumbers/>
              <w:jc w:val="both"/>
              <w:rPr>
                <w:rFonts w:ascii="Liberation Serif" w:hAnsi="Liberation Serif" w:cs="Liberation Serif"/>
                <w:b/>
                <w:i/>
                <w:noProof/>
                <w:sz w:val="22"/>
                <w:szCs w:val="22"/>
              </w:rPr>
            </w:pPr>
            <w:r w:rsidRPr="00A95D87">
              <w:rPr>
                <w:rFonts w:ascii="Liberation Serif" w:hAnsi="Liberation Serif" w:cs="Liberation Serif"/>
                <w:b/>
                <w:i/>
                <w:noProof/>
                <w:sz w:val="22"/>
                <w:szCs w:val="22"/>
              </w:rPr>
              <w:t>Только для работ по строительству, реконструкции, капитальному ремонту, сносу обектов капитального строительства, при которых производится поставка оборудования.</w:t>
            </w:r>
          </w:p>
          <w:p w:rsidR="00274CFC" w:rsidRPr="00A95D87" w:rsidP="00274CFC">
            <w:pPr>
              <w:suppressLineNumbers/>
              <w:jc w:val="both"/>
              <w:rPr>
                <w:rFonts w:ascii="Liberation Serif" w:hAnsi="Liberation Serif" w:cs="Liberation Serif"/>
                <w:noProof/>
                <w:sz w:val="22"/>
                <w:szCs w:val="22"/>
              </w:rPr>
            </w:pPr>
          </w:p>
          <w:p w:rsidR="00274CFC" w:rsidRPr="00A95D87"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D761C0" w:rsidRPr="00F14EF2"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указывается в отношении товаров, указанных заказчиком в описании объекта закупки.</w:t>
            </w:r>
          </w:p>
        </w:tc>
      </w:tr>
    </w:tbl>
    <w:p w:rsidR="00581EBD" w:rsidRPr="00F14EF2">
      <w:pPr>
        <w:rPr>
          <w:rFonts w:ascii="Liberation Serif" w:hAnsi="Liberation Serif" w:cs="Liberation Serif"/>
          <w:noProof/>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9583"/>
      </w:tblGrid>
      <w:tr w:rsidTr="00166A85">
        <w:tblPrEx>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166A85">
        <w:tblPrEx>
          <w:tblW w:w="10434" w:type="dxa"/>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2A5E16" w:rsidRPr="005E435A" w:rsidP="0011044D">
            <w:pPr>
              <w:ind w:firstLine="709"/>
              <w:jc w:val="both"/>
              <w:rPr>
                <w:rFonts w:ascii="Liberation Serif" w:hAnsi="Liberation Serif" w:cs="Liberation Serif"/>
                <w:noProof/>
              </w:rPr>
            </w:pPr>
          </w:p>
          <w:p w:rsidR="002A5E16" w:rsidRPr="00AE206E" w:rsidP="002A5E16">
            <w:pPr>
              <w:ind w:firstLine="709"/>
              <w:jc w:val="center"/>
              <w:rPr>
                <w:rFonts w:ascii="Liberation Serif" w:hAnsi="Liberation Serif" w:cs="Liberation Serif"/>
                <w:b/>
                <w:sz w:val="22"/>
                <w:szCs w:val="22"/>
                <w:lang w:eastAsia="ru-RU"/>
              </w:rPr>
            </w:pPr>
            <w:r w:rsidRPr="00AE206E">
              <w:rPr>
                <w:rFonts w:ascii="Liberation Serif" w:hAnsi="Liberation Serif" w:cs="Liberation Serif"/>
                <w:b/>
                <w:sz w:val="22"/>
                <w:szCs w:val="22"/>
                <w:lang w:eastAsia="ru-RU"/>
              </w:rPr>
              <w:t xml:space="preserve">«Инструкция по заполнению заявки на участие в закупке </w:t>
            </w:r>
          </w:p>
          <w:p w:rsidR="002A5E16" w:rsidRPr="00AE206E" w:rsidP="002A5E16">
            <w:pPr>
              <w:ind w:firstLine="709"/>
              <w:jc w:val="center"/>
              <w:rPr>
                <w:sz w:val="22"/>
                <w:szCs w:val="22"/>
              </w:rPr>
            </w:pPr>
            <w:r w:rsidRPr="00AE206E">
              <w:rPr>
                <w:rFonts w:ascii="Liberation Serif" w:hAnsi="Liberation Serif" w:cs="Liberation Serif"/>
                <w:sz w:val="22"/>
                <w:szCs w:val="22"/>
                <w:lang w:eastAsia="ru-RU"/>
              </w:rPr>
              <w:t>(требования к товарам не установлены)»</w:t>
            </w:r>
          </w:p>
          <w:p w:rsidR="002A5E16" w:rsidP="002A5E16">
            <w:pPr>
              <w:rPr>
                <w:rFonts w:ascii="Liberation Serif" w:hAnsi="Liberation Serif" w:cs="Liberation Serif"/>
                <w:b/>
              </w:rPr>
            </w:pP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 xml:space="preserve">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w:t>
            </w:r>
            <w:r w:rsidRPr="002A5E16">
              <w:rPr>
                <w:rFonts w:ascii="Liberation Serif" w:hAnsi="Liberation Serif" w:cs="Liberation Serif"/>
                <w:sz w:val="22"/>
                <w:szCs w:val="22"/>
              </w:rPr>
              <w:t>законодательством Российской Федерации, за действия, совершенные на основании указанных информации и (или) документов, несет участник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1) до окончания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Требования к содержанию, составу заявки на участие в закупке содержаться в электронном документе, входящем в состав извещения об осуществлении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Сведения, которые включаются в заявку на участие в закупке, не должны допускать двусмысленных толкований.</w:t>
            </w:r>
          </w:p>
          <w:p w:rsidR="001B63DE" w:rsidRPr="00AF03D2"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r w:rsidRPr="00AF03D2">
              <w:rPr>
                <w:rFonts w:ascii="Liberation Serif" w:hAnsi="Liberation Serif" w:cs="Liberation Serif"/>
                <w:sz w:val="22"/>
                <w:szCs w:val="22"/>
              </w:rPr>
              <w:t>.</w:t>
            </w:r>
          </w:p>
        </w:tc>
      </w:tr>
    </w:tbl>
    <w:tbl>
      <w:tblPr>
        <w:tblStyle w:val="TableGrid"/>
        <w:tblW w:w="10433" w:type="dxa"/>
        <w:tblLook w:val="04A0"/>
      </w:tblPr>
      <w:tblGrid>
        <w:gridCol w:w="851"/>
        <w:gridCol w:w="7314"/>
        <w:gridCol w:w="2268"/>
      </w:tblGrid>
      <w:tr w:rsidTr="007971C3">
        <w:tblPrEx>
          <w:tblW w:w="10433" w:type="dxa"/>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7971C3">
        <w:tblPrEx>
          <w:tblW w:w="10433" w:type="dxa"/>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7971C3">
        <w:tblPrEx>
          <w:tblW w:w="10433" w:type="dxa"/>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7971C3">
        <w:tblPrEx>
          <w:tblW w:w="10433" w:type="dxa"/>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7971C3">
        <w:tblPrEx>
          <w:tblW w:w="10433" w:type="dxa"/>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w:t>
            </w:r>
            <w:r w:rsidRPr="00F14EF2">
              <w:rPr>
                <w:rFonts w:ascii="Liberation Serif" w:hAnsi="Liberation Serif" w:cs="Liberation Serif"/>
                <w:sz w:val="22"/>
                <w:szCs w:val="22"/>
              </w:rPr>
              <w:t>числе зарегистрированным в качестве индивидуального предпринимателя), адрес электронной почты, номер контактного телефона;</w:t>
            </w:r>
          </w:p>
        </w:tc>
      </w:tr>
      <w:tr w:rsidTr="007971C3">
        <w:tblPrEx>
          <w:tblW w:w="10433" w:type="dxa"/>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7971C3">
        <w:tblPrEx>
          <w:tblW w:w="10433" w:type="dxa"/>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7971C3">
        <w:tblPrEx>
          <w:tblW w:w="10433" w:type="dxa"/>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7971C3">
        <w:tblPrEx>
          <w:tblW w:w="10433" w:type="dxa"/>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7971C3">
        <w:tblPrEx>
          <w:tblW w:w="10433" w:type="dxa"/>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7971C3">
        <w:tblPrEx>
          <w:tblW w:w="10433" w:type="dxa"/>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0164BF">
        <w:tblPrEx>
          <w:tblW w:w="10433" w:type="dxa"/>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noProof/>
                <w:sz w:val="22"/>
                <w:szCs w:val="22"/>
              </w:rPr>
              <w:t>Не требуется</w:t>
            </w:r>
          </w:p>
        </w:tc>
      </w:tr>
      <w:tr w:rsidTr="007971C3">
        <w:tblPrEx>
          <w:tblW w:w="10433" w:type="dxa"/>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Pr>
          <w:p w:rsidR="00302B49" w:rsidRPr="00F14EF2" w:rsidP="002E58A9">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8A1F93">
            <w:pPr>
              <w:suppressLineNumbers/>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7971C3">
        <w:tblPrEx>
          <w:tblW w:w="10433" w:type="dxa"/>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7971C3">
        <w:tblPrEx>
          <w:tblW w:w="10433" w:type="dxa"/>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BE2CD5">
      <w:headerReference w:type="default" r:id="rId5"/>
      <w:pgSz w:w="11906" w:h="16838"/>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4D88">
    <w:pPr>
      <w:pStyle w:val="Header"/>
      <w:jc w:val="center"/>
    </w:pPr>
    <w:r>
      <w:fldChar w:fldCharType="begin"/>
    </w:r>
    <w:r>
      <w:instrText>PAGE   \* MERGEFORMAT</w:instrText>
    </w:r>
    <w:r>
      <w:fldChar w:fldCharType="separate"/>
    </w:r>
    <w:r w:rsidR="004C66FC">
      <w:rPr>
        <w:noProof/>
      </w:rPr>
      <w:t>5</w:t>
    </w:r>
    <w:r>
      <w:fldChar w:fldCharType="end"/>
    </w:r>
  </w:p>
  <w:p w:rsidR="00784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uiPriority w:val="99"/>
    <w:semiHidden/>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15B7-0E4C-4EA4-9DF5-D0997D79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12</TotalTime>
  <Pages>5</Pages>
  <Words>11741</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78508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Гибадулин Руслан Нургаянович</cp:lastModifiedBy>
  <cp:revision>7</cp:revision>
  <cp:lastPrinted>2023-04-18T09:53:00Z</cp:lastPrinted>
  <dcterms:created xsi:type="dcterms:W3CDTF">2023-09-20T09:43:00Z</dcterms:created>
  <dcterms:modified xsi:type="dcterms:W3CDTF">2024-07-23T04:21:00Z</dcterms:modified>
</cp:coreProperties>
</file>