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978" w:rsidRPr="003B5978" w:rsidRDefault="003B5978" w:rsidP="003B5978">
      <w:pPr>
        <w:jc w:val="center"/>
        <w:rPr>
          <w:rFonts w:ascii="Times New Roman" w:hAnsi="Times New Roman"/>
          <w:b/>
          <w:sz w:val="24"/>
          <w:szCs w:val="24"/>
        </w:rPr>
      </w:pPr>
      <w:r w:rsidRPr="003B5978">
        <w:rPr>
          <w:rFonts w:ascii="Times New Roman" w:hAnsi="Times New Roman"/>
          <w:b/>
          <w:sz w:val="24"/>
          <w:szCs w:val="24"/>
        </w:rPr>
        <w:t xml:space="preserve"> Инструкция по заполнению заявки на участие</w:t>
      </w:r>
      <w:r w:rsidRPr="003B5978">
        <w:rPr>
          <w:rFonts w:ascii="Times New Roman" w:hAnsi="Times New Roman"/>
          <w:b/>
          <w:sz w:val="24"/>
          <w:szCs w:val="24"/>
        </w:rPr>
        <w:br/>
        <w:t>в электронном аукционе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Участник закупки вправе подать только одну заявку на участие в аукционе в электронной форме (далее – закупка).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Заявка на участие в закупке должна быть подписана усиленной квалифицированной электронной подписью участника такой закупки или лица, имеющего право действовать от имени участника закупки.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Все документы, входящие в состав заявки на участие в закупке, должны иметь четко читаемый текст.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При подаче заявки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в разделе «Характеристика товара (описание объекта закупки)».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Сведения, которые включаются в заявку на участие в закупке, не должны допускать двусмысленных толкований или разночтений.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Товарный знак указывается участником закупки в составе первой части заявки только при только при его наличии.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Изменение наименования показателя не допускается.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 xml:space="preserve">Предлагаемые участником закупки характеристики (потребительские свойства) товаров (используемых материалов) по своим конкретным, диапазонным показателям должны </w:t>
      </w:r>
      <w:r w:rsidRPr="003B5978">
        <w:rPr>
          <w:rFonts w:ascii="Times New Roman" w:hAnsi="Times New Roman"/>
          <w:sz w:val="24"/>
          <w:szCs w:val="24"/>
          <w:lang w:eastAsia="zh-CN"/>
        </w:rPr>
        <w:t>быть точно и индивидуально подобраны для каждого конкретного товара с учетом реально существующих свойств требуемого товара</w:t>
      </w:r>
      <w:r w:rsidRPr="003B5978">
        <w:rPr>
          <w:rFonts w:ascii="Times New Roman" w:hAnsi="Times New Roman"/>
          <w:kern w:val="2"/>
          <w:sz w:val="24"/>
          <w:szCs w:val="24"/>
        </w:rPr>
        <w:t xml:space="preserve"> </w:t>
      </w:r>
      <w:r w:rsidRPr="003B5978">
        <w:rPr>
          <w:rFonts w:ascii="Times New Roman" w:hAnsi="Times New Roman"/>
          <w:sz w:val="24"/>
          <w:szCs w:val="24"/>
          <w:lang w:eastAsia="zh-CN"/>
        </w:rPr>
        <w:t xml:space="preserve">и не должны противоречить </w:t>
      </w:r>
      <w:r w:rsidRPr="003B5978">
        <w:rPr>
          <w:rFonts w:ascii="Times New Roman" w:hAnsi="Times New Roman"/>
          <w:sz w:val="24"/>
          <w:szCs w:val="24"/>
        </w:rPr>
        <w:t xml:space="preserve">требованиям заказчика, установленным в разделе «Характеристика товара (описание объекта закупки)», </w:t>
      </w:r>
      <w:r w:rsidRPr="003B5978">
        <w:rPr>
          <w:rFonts w:ascii="Times New Roman" w:hAnsi="Times New Roman"/>
          <w:sz w:val="24"/>
          <w:szCs w:val="24"/>
          <w:lang w:eastAsia="zh-CN"/>
        </w:rPr>
        <w:t>а также</w:t>
      </w:r>
      <w:r w:rsidRPr="003B5978">
        <w:rPr>
          <w:rFonts w:ascii="Times New Roman" w:hAnsi="Times New Roman"/>
          <w:sz w:val="24"/>
          <w:szCs w:val="24"/>
        </w:rPr>
        <w:t xml:space="preserve"> соответствовать значениям, установленным НПБ, ГОСТ, </w:t>
      </w:r>
      <w:proofErr w:type="spellStart"/>
      <w:r w:rsidRPr="003B5978">
        <w:rPr>
          <w:rFonts w:ascii="Times New Roman" w:hAnsi="Times New Roman"/>
          <w:sz w:val="24"/>
          <w:szCs w:val="24"/>
        </w:rPr>
        <w:t>СаНПиН</w:t>
      </w:r>
      <w:proofErr w:type="spellEnd"/>
      <w:r w:rsidRPr="003B5978">
        <w:rPr>
          <w:rFonts w:ascii="Times New Roman" w:hAnsi="Times New Roman"/>
          <w:sz w:val="24"/>
          <w:szCs w:val="24"/>
        </w:rPr>
        <w:t xml:space="preserve">, СНиП, СП, ПУЭ, ГН (если данное требование установлено в разделе «Характеристика товара (описание объекта закупки)») со всеми рекомендованными и иными приложениями к НПБ, ГОСТ, </w:t>
      </w:r>
      <w:proofErr w:type="spellStart"/>
      <w:r w:rsidRPr="003B5978">
        <w:rPr>
          <w:rFonts w:ascii="Times New Roman" w:hAnsi="Times New Roman"/>
          <w:sz w:val="24"/>
          <w:szCs w:val="24"/>
        </w:rPr>
        <w:t>СаНПиН</w:t>
      </w:r>
      <w:proofErr w:type="spellEnd"/>
      <w:r w:rsidRPr="003B5978">
        <w:rPr>
          <w:rFonts w:ascii="Times New Roman" w:hAnsi="Times New Roman"/>
          <w:sz w:val="24"/>
          <w:szCs w:val="24"/>
        </w:rPr>
        <w:t xml:space="preserve">, СНиП, СП, ПУЭ, ГН. 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  <w:lang w:eastAsia="zh-CN"/>
        </w:rPr>
      </w:pPr>
      <w:r w:rsidRPr="003B5978">
        <w:rPr>
          <w:rFonts w:ascii="Times New Roman" w:hAnsi="Times New Roman"/>
          <w:sz w:val="24"/>
          <w:szCs w:val="24"/>
        </w:rPr>
        <w:t xml:space="preserve">При заполнении первой части заявки, в части представления участником закупки конкретных значений характеристик (потребительских свойств) товаров (используемых материалов), не допускается </w:t>
      </w:r>
      <w:r w:rsidRPr="003B5978">
        <w:rPr>
          <w:rFonts w:ascii="Times New Roman" w:hAnsi="Times New Roman"/>
          <w:sz w:val="24"/>
          <w:szCs w:val="24"/>
          <w:lang w:eastAsia="zh-CN"/>
        </w:rPr>
        <w:t>указание словосочетаний, слов и знаков</w:t>
      </w:r>
      <w:r w:rsidRPr="003B5978">
        <w:rPr>
          <w:rFonts w:ascii="Times New Roman" w:hAnsi="Times New Roman"/>
          <w:sz w:val="24"/>
          <w:szCs w:val="24"/>
        </w:rPr>
        <w:t xml:space="preserve">: </w:t>
      </w:r>
      <w:r w:rsidRPr="003B5978">
        <w:rPr>
          <w:rFonts w:ascii="Times New Roman" w:hAnsi="Times New Roman"/>
          <w:sz w:val="24"/>
          <w:szCs w:val="24"/>
          <w:lang w:eastAsia="zh-CN"/>
        </w:rPr>
        <w:t xml:space="preserve">«не менее», «не ниже», «не хуже», «не более», «не выше», «превышать», «менее», «ниже», «более», «лучше», «или», «либо», </w:t>
      </w:r>
      <w:r w:rsidRPr="003B5978">
        <w:rPr>
          <w:rFonts w:ascii="Times New Roman" w:hAnsi="Times New Roman"/>
          <w:sz w:val="24"/>
          <w:szCs w:val="24"/>
        </w:rPr>
        <w:t xml:space="preserve">«св.», «свыше», «не менее», «от», «до» </w:t>
      </w:r>
      <w:r w:rsidRPr="003B5978">
        <w:rPr>
          <w:rFonts w:ascii="Times New Roman" w:hAnsi="Times New Roman"/>
          <w:sz w:val="24"/>
          <w:szCs w:val="24"/>
          <w:lang w:eastAsia="zh-CN"/>
        </w:rPr>
        <w:t>«&gt;», «&lt;», «≤», «≥», «/» и их производных</w:t>
      </w:r>
      <w:r w:rsidRPr="003B5978">
        <w:rPr>
          <w:rFonts w:ascii="Times New Roman" w:hAnsi="Times New Roman"/>
          <w:sz w:val="24"/>
          <w:szCs w:val="24"/>
        </w:rPr>
        <w:t xml:space="preserve"> </w:t>
      </w:r>
      <w:r w:rsidRPr="003B5978">
        <w:rPr>
          <w:rFonts w:ascii="Times New Roman" w:hAnsi="Times New Roman"/>
          <w:sz w:val="24"/>
          <w:szCs w:val="24"/>
          <w:lang w:eastAsia="zh-CN"/>
        </w:rPr>
        <w:t xml:space="preserve">(за исключением случаев, когда знак «/» входит в наименование, обозначение самого товара, марки материала, единицы измерения, установленного нормативной документацией или обычаями обозначения того или иного товара), если это не предусмотрено нормативно-технической документацией на предлагаемый товар и настоящей инструкцией. Указывается только конкретное, точное и достоверное значение характеристик товара. 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При описании характеристик поставляемых товаров (используемых материалов) в столбце «Содержание (значение) характеристики» заказчиком используются следующие определения: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1719"/>
        <w:gridCol w:w="8192"/>
      </w:tblGrid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«или», «либо», «/»</w:t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Если значения показателя указаны через союзы «или», «либо», символ «/» (приравнивается к разделительному союзу «или»), то участнику закупки необходимо указать одно из перечисленных значений данного показателя.</w:t>
            </w:r>
          </w:p>
          <w:p w:rsidR="003B5978" w:rsidRPr="003B5978" w:rsidRDefault="003B5978" w:rsidP="0073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978">
              <w:rPr>
                <w:rFonts w:ascii="Times New Roman" w:hAnsi="Times New Roman"/>
                <w:i/>
                <w:sz w:val="24"/>
                <w:szCs w:val="24"/>
              </w:rPr>
              <w:t>Исключение: знак «,» между перечислением нескольких значений с указанием в последнем значении союза «или», означает, что участнику закупки необходимо указать одно из перечисленных заказчиком значений (Пример: если заказчиком установлено требование: синий, красный, белый или черный, то участнику закупки необходимо предложить только один цвет).</w:t>
            </w:r>
          </w:p>
        </w:tc>
      </w:tr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«и», «;», «,»</w:t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B5978">
              <w:rPr>
                <w:rFonts w:ascii="Times New Roman" w:hAnsi="Times New Roman"/>
                <w:sz w:val="24"/>
                <w:szCs w:val="24"/>
              </w:rPr>
              <w:t>Усли</w:t>
            </w:r>
            <w:proofErr w:type="spellEnd"/>
            <w:r w:rsidRPr="003B5978">
              <w:rPr>
                <w:rFonts w:ascii="Times New Roman" w:hAnsi="Times New Roman"/>
                <w:sz w:val="24"/>
                <w:szCs w:val="24"/>
              </w:rPr>
              <w:t xml:space="preserve"> значения показателя указаны через союз «и», знаки «;», «,», то участнику закупки необходимо перечислить все значения данного показателя.</w:t>
            </w:r>
          </w:p>
          <w:p w:rsidR="003B5978" w:rsidRPr="003B5978" w:rsidRDefault="003B5978" w:rsidP="00732C12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3B597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Исключение: знак «,» между перечислением нескольких значений с указанием в последнем значении союза «или», означает, что участнику закупки необходимо указать одно из перечисленных заказчиком значений (Пример: если заказчиком установлено требование: синий, красный, белый или черный, то участнику закупки необходимо предложить только один цвет).</w:t>
            </w:r>
          </w:p>
        </w:tc>
      </w:tr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lastRenderedPageBreak/>
              <w:t>«и/или»</w:t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Если значения показателя указаны через знак «и/или», то участнику закупки необходимо указать показатель с союзом «и» либо указать одно конкретное значение из нескольких значений без использования союза «или».</w:t>
            </w:r>
          </w:p>
        </w:tc>
      </w:tr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«от», «не менее», «≥»</w:t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</w:pP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- при указании конкретного значения: участнику закупки</w:t>
            </w:r>
            <w:r w:rsidRPr="003B5978">
              <w:rPr>
                <w:rFonts w:ascii="Times New Roman" w:eastAsia="DejaVu Sans" w:hAnsi="Times New Roman"/>
                <w:spacing w:val="6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следует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представить</w:t>
            </w:r>
            <w:r w:rsidRPr="003B5978">
              <w:rPr>
                <w:rFonts w:ascii="Times New Roman" w:eastAsia="DejaVu Sans" w:hAnsi="Times New Roman"/>
                <w:spacing w:val="5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конкретный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показатель,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более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указанного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значения или равный ему;</w:t>
            </w:r>
          </w:p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- при указании диапазонного значения: участнику закупки следует указать диапазон значений, при этом нижнее числовое значение диапазона может быть более указанного значения или равное ему.</w:t>
            </w:r>
          </w:p>
        </w:tc>
      </w:tr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«до», «не более», «≤»</w:t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</w:pP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- при указании конкретного значения: участнику закупки</w:t>
            </w:r>
            <w:r w:rsidRPr="003B5978">
              <w:rPr>
                <w:rFonts w:ascii="Times New Roman" w:eastAsia="DejaVu Sans" w:hAnsi="Times New Roman"/>
                <w:spacing w:val="6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следует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представить</w:t>
            </w:r>
            <w:r w:rsidRPr="003B5978">
              <w:rPr>
                <w:rFonts w:ascii="Times New Roman" w:eastAsia="DejaVu Sans" w:hAnsi="Times New Roman"/>
                <w:spacing w:val="5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конкретный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показатель,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менее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указанного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значения или равный ему;</w:t>
            </w:r>
          </w:p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- при указании диапазонного значения: участнику закупки следует указать диапазон значений, при этом верхнее числовое значение диапазона может быть менее указанного значения или равное ему.</w:t>
            </w:r>
          </w:p>
        </w:tc>
      </w:tr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 xml:space="preserve">«не уже» </w:t>
            </w:r>
            <w:r w:rsidRPr="003B5978"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превышать установленный диапазон значений.</w:t>
            </w:r>
          </w:p>
        </w:tc>
      </w:tr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«не шире», «-» (тире)</w:t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Используется при описании диапазонов значений и означает, что предлагаемый участником закупки диапазон должен быть равен либо быть меньше, установленного диапазона значений.</w:t>
            </w:r>
          </w:p>
        </w:tc>
      </w:tr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«св.», «свыше», «более», «выше», «&gt;»</w:t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</w:pP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- при указании конкретного значения: участнику закупки</w:t>
            </w:r>
            <w:r w:rsidRPr="003B5978">
              <w:rPr>
                <w:rFonts w:ascii="Times New Roman" w:eastAsia="DejaVu Sans" w:hAnsi="Times New Roman"/>
                <w:spacing w:val="6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следует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представить</w:t>
            </w:r>
            <w:r w:rsidRPr="003B5978">
              <w:rPr>
                <w:rFonts w:ascii="Times New Roman" w:eastAsia="DejaVu Sans" w:hAnsi="Times New Roman"/>
                <w:spacing w:val="5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конкретный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показатель,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превышающий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указанное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значение;</w:t>
            </w:r>
          </w:p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- при указании диапазонного значения: участнику закупки следует указать диапазон значений, при этом нижнее числовое значение диапазона должно быть более указанного значения.</w:t>
            </w:r>
          </w:p>
        </w:tc>
      </w:tr>
      <w:tr w:rsidR="003B5978" w:rsidRPr="003B5978" w:rsidTr="003B5978">
        <w:tc>
          <w:tcPr>
            <w:tcW w:w="867" w:type="pct"/>
          </w:tcPr>
          <w:p w:rsidR="003B5978" w:rsidRPr="003B5978" w:rsidRDefault="003B5978" w:rsidP="00732C12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«&lt;», «менее», «ниже»</w:t>
            </w:r>
          </w:p>
        </w:tc>
        <w:tc>
          <w:tcPr>
            <w:tcW w:w="4133" w:type="pct"/>
          </w:tcPr>
          <w:p w:rsidR="003B5978" w:rsidRPr="003B5978" w:rsidRDefault="003B5978" w:rsidP="00732C12">
            <w:pPr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</w:pP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- при указании конкретного значения: участнику закупки</w:t>
            </w:r>
            <w:r w:rsidRPr="003B5978">
              <w:rPr>
                <w:rFonts w:ascii="Times New Roman" w:eastAsia="DejaVu Sans" w:hAnsi="Times New Roman"/>
                <w:spacing w:val="6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следует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представить</w:t>
            </w:r>
            <w:r w:rsidRPr="003B5978">
              <w:rPr>
                <w:rFonts w:ascii="Times New Roman" w:eastAsia="DejaVu Sans" w:hAnsi="Times New Roman"/>
                <w:spacing w:val="5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конкретный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показатель,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менее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spacing w:val="-1"/>
                <w:kern w:val="2"/>
                <w:sz w:val="24"/>
                <w:szCs w:val="24"/>
                <w:lang w:eastAsia="zh-CN"/>
              </w:rPr>
              <w:t>указанного</w:t>
            </w:r>
            <w:r w:rsidRPr="003B5978">
              <w:rPr>
                <w:rFonts w:ascii="Times New Roman" w:eastAsia="DejaVu Sans" w:hAnsi="Times New Roman"/>
                <w:spacing w:val="7"/>
                <w:kern w:val="2"/>
                <w:sz w:val="24"/>
                <w:szCs w:val="24"/>
                <w:lang w:eastAsia="zh-CN"/>
              </w:rPr>
              <w:t xml:space="preserve"> </w:t>
            </w: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значения;</w:t>
            </w:r>
          </w:p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eastAsia="DejaVu Sans" w:hAnsi="Times New Roman"/>
                <w:kern w:val="2"/>
                <w:sz w:val="24"/>
                <w:szCs w:val="24"/>
                <w:lang w:eastAsia="zh-CN"/>
              </w:rPr>
              <w:t>- при указании диапазонного значения: участнику закупки следует указать диапазон значений, при этом верхнее числовое значение диапазона должно быть менее указанного значения.</w:t>
            </w:r>
            <w:r w:rsidRPr="003B597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3B5978" w:rsidRPr="003B5978" w:rsidRDefault="003B5978" w:rsidP="003B5978">
      <w:pPr>
        <w:autoSpaceDE w:val="0"/>
        <w:autoSpaceDN w:val="0"/>
        <w:adjustRightInd w:val="0"/>
        <w:ind w:firstLine="709"/>
        <w:rPr>
          <w:rFonts w:ascii="Times New Roman" w:hAnsi="Times New Roman"/>
          <w:sz w:val="24"/>
          <w:szCs w:val="24"/>
        </w:rPr>
      </w:pP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  <w:lang w:eastAsia="zh-CN"/>
        </w:rPr>
        <w:t xml:space="preserve">Температурные характеристики участник закупки должен указать относительно температурной шкалы; если заказчиком установлено требование к температурным значениям в виде «свыше минус 5» или «более минус 5», то значение должно быть выше </w:t>
      </w:r>
      <w:r w:rsidRPr="003B5978">
        <w:rPr>
          <w:rFonts w:ascii="Times New Roman" w:eastAsia="DejaVu Sans" w:hAnsi="Times New Roman"/>
          <w:spacing w:val="-1"/>
          <w:kern w:val="2"/>
          <w:sz w:val="24"/>
          <w:szCs w:val="24"/>
          <w:lang w:eastAsia="zh-CN"/>
        </w:rPr>
        <w:t>на температурной</w:t>
      </w:r>
      <w:r w:rsidRPr="003B5978">
        <w:rPr>
          <w:rFonts w:ascii="Times New Roman" w:eastAsia="DejaVu Sans" w:hAnsi="Times New Roman"/>
          <w:spacing w:val="-3"/>
          <w:kern w:val="2"/>
          <w:sz w:val="24"/>
          <w:szCs w:val="24"/>
          <w:lang w:eastAsia="zh-CN"/>
        </w:rPr>
        <w:t xml:space="preserve"> </w:t>
      </w:r>
      <w:r w:rsidRPr="003B5978">
        <w:rPr>
          <w:rFonts w:ascii="Times New Roman" w:eastAsia="DejaVu Sans" w:hAnsi="Times New Roman"/>
          <w:spacing w:val="-1"/>
          <w:kern w:val="2"/>
          <w:sz w:val="24"/>
          <w:szCs w:val="24"/>
          <w:lang w:eastAsia="zh-CN"/>
        </w:rPr>
        <w:t>шкале</w:t>
      </w:r>
      <w:r w:rsidRPr="003B5978">
        <w:rPr>
          <w:rFonts w:ascii="Times New Roman" w:hAnsi="Times New Roman"/>
          <w:sz w:val="24"/>
          <w:szCs w:val="24"/>
          <w:lang w:eastAsia="zh-CN"/>
        </w:rPr>
        <w:t>, то есть допустимое значение в данном случае «минус 4», «минус 3» и т.д.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Сокращения «</w:t>
      </w:r>
      <w:proofErr w:type="spellStart"/>
      <w:r w:rsidRPr="003B5978">
        <w:rPr>
          <w:rFonts w:ascii="Times New Roman" w:hAnsi="Times New Roman"/>
          <w:sz w:val="24"/>
          <w:szCs w:val="24"/>
        </w:rPr>
        <w:t>ДхШхВ</w:t>
      </w:r>
      <w:proofErr w:type="spellEnd"/>
      <w:r w:rsidRPr="003B5978">
        <w:rPr>
          <w:rFonts w:ascii="Times New Roman" w:hAnsi="Times New Roman"/>
          <w:sz w:val="24"/>
          <w:szCs w:val="24"/>
        </w:rPr>
        <w:t>» означает «длина*ширина*высота», «</w:t>
      </w:r>
      <w:proofErr w:type="spellStart"/>
      <w:r w:rsidRPr="003B5978">
        <w:rPr>
          <w:rFonts w:ascii="Times New Roman" w:hAnsi="Times New Roman"/>
          <w:sz w:val="24"/>
          <w:szCs w:val="24"/>
        </w:rPr>
        <w:t>ДхШхГ</w:t>
      </w:r>
      <w:proofErr w:type="spellEnd"/>
      <w:r w:rsidRPr="003B5978">
        <w:rPr>
          <w:rFonts w:ascii="Times New Roman" w:hAnsi="Times New Roman"/>
          <w:sz w:val="24"/>
          <w:szCs w:val="24"/>
        </w:rPr>
        <w:t>» означает «длина*ширина*глубина», «</w:t>
      </w:r>
      <w:proofErr w:type="spellStart"/>
      <w:r w:rsidRPr="003B5978">
        <w:rPr>
          <w:rFonts w:ascii="Times New Roman" w:hAnsi="Times New Roman"/>
          <w:sz w:val="24"/>
          <w:szCs w:val="24"/>
        </w:rPr>
        <w:t>ДхШхТ</w:t>
      </w:r>
      <w:proofErr w:type="spellEnd"/>
      <w:r w:rsidRPr="003B5978">
        <w:rPr>
          <w:rFonts w:ascii="Times New Roman" w:hAnsi="Times New Roman"/>
          <w:sz w:val="24"/>
          <w:szCs w:val="24"/>
        </w:rPr>
        <w:t>» означает «длина*ширина*толщина», «</w:t>
      </w:r>
      <w:proofErr w:type="spellStart"/>
      <w:r w:rsidRPr="003B5978">
        <w:rPr>
          <w:rFonts w:ascii="Times New Roman" w:hAnsi="Times New Roman"/>
          <w:sz w:val="24"/>
          <w:szCs w:val="24"/>
        </w:rPr>
        <w:t>ВхШхГ</w:t>
      </w:r>
      <w:proofErr w:type="spellEnd"/>
      <w:r w:rsidRPr="003B5978">
        <w:rPr>
          <w:rFonts w:ascii="Times New Roman" w:hAnsi="Times New Roman"/>
          <w:sz w:val="24"/>
          <w:szCs w:val="24"/>
        </w:rPr>
        <w:t xml:space="preserve">» означает «высота*ширина*глубина» и т.д. 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 xml:space="preserve">В случае указания значений показателей следующим образом, </w:t>
      </w:r>
      <w:proofErr w:type="gramStart"/>
      <w:r w:rsidRPr="003B5978">
        <w:rPr>
          <w:rFonts w:ascii="Times New Roman" w:hAnsi="Times New Roman"/>
          <w:sz w:val="24"/>
          <w:szCs w:val="24"/>
        </w:rPr>
        <w:t>например</w:t>
      </w:r>
      <w:proofErr w:type="gramEnd"/>
      <w:r w:rsidRPr="003B5978">
        <w:rPr>
          <w:rFonts w:ascii="Times New Roman" w:hAnsi="Times New Roman"/>
          <w:sz w:val="24"/>
          <w:szCs w:val="24"/>
        </w:rPr>
        <w:t>: «</w:t>
      </w:r>
      <w:proofErr w:type="spellStart"/>
      <w:r w:rsidRPr="003B5978">
        <w:rPr>
          <w:rFonts w:ascii="Times New Roman" w:hAnsi="Times New Roman"/>
          <w:sz w:val="24"/>
          <w:szCs w:val="24"/>
        </w:rPr>
        <w:t>ДхШхВ</w:t>
      </w:r>
      <w:proofErr w:type="spellEnd"/>
      <w:r w:rsidRPr="003B5978">
        <w:rPr>
          <w:rFonts w:ascii="Times New Roman" w:hAnsi="Times New Roman"/>
          <w:sz w:val="24"/>
          <w:szCs w:val="24"/>
        </w:rPr>
        <w:t xml:space="preserve"> не более __</w:t>
      </w:r>
      <w:proofErr w:type="spellStart"/>
      <w:r w:rsidRPr="003B5978">
        <w:rPr>
          <w:rFonts w:ascii="Times New Roman" w:hAnsi="Times New Roman"/>
          <w:sz w:val="24"/>
          <w:szCs w:val="24"/>
        </w:rPr>
        <w:t>х__х</w:t>
      </w:r>
      <w:proofErr w:type="spellEnd"/>
      <w:r w:rsidRPr="003B5978">
        <w:rPr>
          <w:rFonts w:ascii="Times New Roman" w:hAnsi="Times New Roman"/>
          <w:sz w:val="24"/>
          <w:szCs w:val="24"/>
        </w:rPr>
        <w:t>__», то слова «не более» относятся ко всем указанным после него значениям.</w:t>
      </w: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>При описании характеристик (потребительских свойств) поставляемых товаров (используемых материалов) в столбце «</w:t>
      </w:r>
      <w:r w:rsidRPr="003B5978">
        <w:rPr>
          <w:rFonts w:ascii="Times New Roman" w:hAnsi="Times New Roman"/>
          <w:bCs/>
          <w:sz w:val="24"/>
          <w:szCs w:val="24"/>
        </w:rPr>
        <w:t>Инструкция участнику закупки по формированию предложения</w:t>
      </w:r>
      <w:r w:rsidRPr="003B5978">
        <w:rPr>
          <w:rFonts w:ascii="Times New Roman" w:hAnsi="Times New Roman"/>
          <w:sz w:val="24"/>
          <w:szCs w:val="24"/>
        </w:rPr>
        <w:t>» заказчиком используются следующие определения:</w:t>
      </w:r>
    </w:p>
    <w:p w:rsidR="003B5978" w:rsidRPr="003B5978" w:rsidRDefault="003B5978" w:rsidP="003B5978">
      <w:pPr>
        <w:rPr>
          <w:rFonts w:ascii="Times New Roman" w:hAnsi="Times New Roman"/>
          <w:sz w:val="24"/>
          <w:szCs w:val="24"/>
        </w:rPr>
      </w:pPr>
    </w:p>
    <w:tbl>
      <w:tblPr>
        <w:tblStyle w:val="13"/>
        <w:tblW w:w="5000" w:type="pct"/>
        <w:tblLook w:val="04A0" w:firstRow="1" w:lastRow="0" w:firstColumn="1" w:lastColumn="0" w:noHBand="0" w:noVBand="1"/>
      </w:tblPr>
      <w:tblGrid>
        <w:gridCol w:w="2347"/>
        <w:gridCol w:w="7564"/>
      </w:tblGrid>
      <w:tr w:rsidR="003B5978" w:rsidRPr="003B5978" w:rsidTr="00732C12">
        <w:tc>
          <w:tcPr>
            <w:tcW w:w="1184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«Неизменный показатель»</w:t>
            </w:r>
          </w:p>
        </w:tc>
        <w:tc>
          <w:tcPr>
            <w:tcW w:w="3816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Означает, что участник закупки должен предложить товары (материалы) в точном соответствии с установленными заказчиком в строке характеристиками.</w:t>
            </w:r>
          </w:p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Если данное требование установлено к диапазону значений, то участнику также необходимо предложить диапазон в точном соответствии с диапазоном значений, установленном заказчиком. </w:t>
            </w:r>
          </w:p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Внесение изменений (корректировок), в том числе исключение слов «не более», «не менее», «св.», «свыше», «не менее», «от», «до» и других, в соответствующую строку приведет к отклонению участника закупки.</w:t>
            </w:r>
          </w:p>
        </w:tc>
      </w:tr>
      <w:tr w:rsidR="003B5978" w:rsidRPr="003B5978" w:rsidTr="00732C12">
        <w:tc>
          <w:tcPr>
            <w:tcW w:w="1184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lastRenderedPageBreak/>
              <w:t>«Конкретное значение»</w:t>
            </w:r>
          </w:p>
        </w:tc>
        <w:tc>
          <w:tcPr>
            <w:tcW w:w="3816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Означает, что участник закупки должен предложить конкретное(</w:t>
            </w:r>
            <w:proofErr w:type="spellStart"/>
            <w:r w:rsidRPr="003B5978">
              <w:rPr>
                <w:rFonts w:ascii="Times New Roman" w:hAnsi="Times New Roman"/>
                <w:sz w:val="24"/>
                <w:szCs w:val="24"/>
              </w:rPr>
              <w:t>ые</w:t>
            </w:r>
            <w:proofErr w:type="spellEnd"/>
            <w:r w:rsidRPr="003B5978">
              <w:rPr>
                <w:rFonts w:ascii="Times New Roman" w:hAnsi="Times New Roman"/>
                <w:sz w:val="24"/>
                <w:szCs w:val="24"/>
              </w:rPr>
              <w:t>) значение(я) показателя в столбце «Содержание (значение) характеристики».</w:t>
            </w:r>
          </w:p>
        </w:tc>
      </w:tr>
      <w:tr w:rsidR="003B5978" w:rsidRPr="003B5978" w:rsidTr="00732C12">
        <w:tc>
          <w:tcPr>
            <w:tcW w:w="1184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«Диапазонное значение»</w:t>
            </w:r>
          </w:p>
        </w:tc>
        <w:tc>
          <w:tcPr>
            <w:tcW w:w="3816" w:type="pct"/>
          </w:tcPr>
          <w:p w:rsidR="003B5978" w:rsidRPr="003B5978" w:rsidRDefault="003B5978" w:rsidP="00732C12">
            <w:pPr>
              <w:rPr>
                <w:rFonts w:ascii="Times New Roman" w:hAnsi="Times New Roman"/>
                <w:sz w:val="24"/>
                <w:szCs w:val="24"/>
              </w:rPr>
            </w:pPr>
            <w:r w:rsidRPr="003B5978">
              <w:rPr>
                <w:rFonts w:ascii="Times New Roman" w:hAnsi="Times New Roman"/>
                <w:sz w:val="24"/>
                <w:szCs w:val="24"/>
              </w:rPr>
              <w:t>Означает, что участник закупки должен предложить диапазонное значение показателя в столбце «Содержание (значение) характеристики»</w:t>
            </w:r>
          </w:p>
        </w:tc>
      </w:tr>
    </w:tbl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</w:p>
    <w:p w:rsidR="003B5978" w:rsidRPr="003B5978" w:rsidRDefault="003B5978" w:rsidP="003B5978">
      <w:pPr>
        <w:ind w:firstLine="709"/>
        <w:rPr>
          <w:rFonts w:ascii="Times New Roman" w:hAnsi="Times New Roman"/>
          <w:sz w:val="24"/>
          <w:szCs w:val="24"/>
        </w:rPr>
      </w:pPr>
      <w:r w:rsidRPr="003B5978">
        <w:rPr>
          <w:rFonts w:ascii="Times New Roman" w:hAnsi="Times New Roman"/>
          <w:sz w:val="24"/>
          <w:szCs w:val="24"/>
        </w:rPr>
        <w:t xml:space="preserve">Участник закупки вправе предоставить сведения о поставляемых товарах (используемых материалах) по </w:t>
      </w:r>
      <w:proofErr w:type="spellStart"/>
      <w:r w:rsidRPr="003B5978">
        <w:rPr>
          <w:rFonts w:ascii="Times New Roman" w:hAnsi="Times New Roman"/>
          <w:sz w:val="24"/>
          <w:szCs w:val="24"/>
        </w:rPr>
        <w:t>прилагающейся</w:t>
      </w:r>
      <w:proofErr w:type="spellEnd"/>
      <w:r w:rsidRPr="003B5978">
        <w:rPr>
          <w:rFonts w:ascii="Times New Roman" w:hAnsi="Times New Roman"/>
          <w:sz w:val="24"/>
          <w:szCs w:val="24"/>
        </w:rPr>
        <w:t xml:space="preserve"> ниже форме либо в произвольной форме.</w:t>
      </w:r>
    </w:p>
    <w:p w:rsidR="003B5978" w:rsidRPr="003B5978" w:rsidRDefault="003B5978" w:rsidP="003B5978">
      <w:pPr>
        <w:rPr>
          <w:rFonts w:ascii="Times New Roman" w:hAnsi="Times New Roman"/>
          <w:sz w:val="24"/>
          <w:szCs w:val="24"/>
        </w:rPr>
      </w:pPr>
    </w:p>
    <w:p w:rsidR="003B5978" w:rsidRPr="003B5978" w:rsidRDefault="003B5978" w:rsidP="003B5978">
      <w:pPr>
        <w:rPr>
          <w:rFonts w:ascii="Times New Roman" w:hAnsi="Times New Roman"/>
          <w:sz w:val="24"/>
          <w:szCs w:val="24"/>
        </w:rPr>
      </w:pPr>
    </w:p>
    <w:p w:rsidR="003B5978" w:rsidRPr="003B5978" w:rsidRDefault="003B5978" w:rsidP="003B5978">
      <w:pPr>
        <w:rPr>
          <w:rFonts w:ascii="Times New Roman" w:hAnsi="Times New Roman"/>
          <w:sz w:val="24"/>
          <w:szCs w:val="24"/>
        </w:rPr>
      </w:pPr>
    </w:p>
    <w:p w:rsidR="00972E8B" w:rsidRPr="008F571B" w:rsidRDefault="00972E8B" w:rsidP="00972E8B">
      <w:pPr>
        <w:pStyle w:val="ConsPlusNormal"/>
        <w:ind w:left="-567" w:right="-426"/>
        <w:jc w:val="center"/>
      </w:pPr>
      <w:r w:rsidRPr="008F571B">
        <w:t>ФОРМА ЗАЯВКИ</w:t>
      </w:r>
    </w:p>
    <w:p w:rsidR="00972E8B" w:rsidRPr="008F571B" w:rsidRDefault="00972E8B" w:rsidP="00972E8B">
      <w:pPr>
        <w:pStyle w:val="ConsPlusNormal"/>
        <w:ind w:left="-567" w:right="-426"/>
        <w:jc w:val="center"/>
      </w:pPr>
      <w:r w:rsidRPr="008F571B">
        <w:t>НА УЧАСТИЕ В ЭЛЕКТРОННОМ АУКЦИОНЕ</w:t>
      </w:r>
    </w:p>
    <w:p w:rsidR="00972E8B" w:rsidRPr="008F571B" w:rsidRDefault="00972E8B" w:rsidP="00972E8B">
      <w:pPr>
        <w:pStyle w:val="ConsPlusNormal"/>
        <w:ind w:left="-567" w:right="-426"/>
        <w:jc w:val="center"/>
      </w:pPr>
    </w:p>
    <w:p w:rsidR="00972E8B" w:rsidRPr="008F571B" w:rsidRDefault="00972E8B" w:rsidP="00972E8B">
      <w:pPr>
        <w:pStyle w:val="ConsPlusNormal"/>
        <w:ind w:left="-567" w:right="-426"/>
        <w:jc w:val="both"/>
        <w:outlineLvl w:val="0"/>
      </w:pPr>
    </w:p>
    <w:p w:rsidR="00972E8B" w:rsidRPr="008F571B" w:rsidRDefault="00972E8B" w:rsidP="00972E8B">
      <w:pPr>
        <w:pStyle w:val="ConsPlusNormal"/>
        <w:ind w:left="-567" w:right="-426"/>
        <w:jc w:val="center"/>
      </w:pPr>
      <w:r w:rsidRPr="008F571B">
        <w:t>ЗАЯВКА</w:t>
      </w:r>
    </w:p>
    <w:p w:rsidR="00972E8B" w:rsidRPr="008F571B" w:rsidRDefault="00972E8B" w:rsidP="00972E8B">
      <w:pPr>
        <w:pStyle w:val="ConsPlusNormal"/>
        <w:ind w:left="-567" w:right="-426"/>
        <w:jc w:val="center"/>
      </w:pPr>
      <w:r w:rsidRPr="008F571B">
        <w:t>на участие в электронном аукционе</w:t>
      </w:r>
    </w:p>
    <w:p w:rsidR="00972E8B" w:rsidRPr="008F571B" w:rsidRDefault="00972E8B" w:rsidP="00972E8B">
      <w:pPr>
        <w:pStyle w:val="ConsPlusNormal"/>
        <w:ind w:left="-567" w:right="-426"/>
        <w:jc w:val="center"/>
      </w:pPr>
    </w:p>
    <w:p w:rsidR="00972E8B" w:rsidRPr="008F571B" w:rsidRDefault="00972E8B" w:rsidP="00972E8B">
      <w:pPr>
        <w:pStyle w:val="ConsPlusNormal"/>
        <w:ind w:left="-567" w:right="-426"/>
        <w:jc w:val="both"/>
      </w:pPr>
    </w:p>
    <w:p w:rsidR="00972E8B" w:rsidRPr="008F571B" w:rsidRDefault="00972E8B" w:rsidP="00972E8B">
      <w:pPr>
        <w:pStyle w:val="ConsPlusNormal"/>
        <w:ind w:left="-567" w:right="-426"/>
        <w:jc w:val="center"/>
        <w:outlineLvl w:val="0"/>
      </w:pPr>
      <w:r w:rsidRPr="008F571B">
        <w:t>I. Первая часть заявки на участие в электронном аукционе,</w:t>
      </w:r>
    </w:p>
    <w:p w:rsidR="00972E8B" w:rsidRPr="008F571B" w:rsidRDefault="00972E8B" w:rsidP="00972E8B">
      <w:pPr>
        <w:pStyle w:val="ConsPlusNormal"/>
        <w:ind w:left="-567" w:right="-426"/>
        <w:jc w:val="center"/>
      </w:pPr>
      <w:r w:rsidRPr="008F571B">
        <w:t>закрытом аукционе в электронной форме</w:t>
      </w:r>
    </w:p>
    <w:p w:rsidR="00972E8B" w:rsidRPr="008F571B" w:rsidRDefault="00972E8B" w:rsidP="00972E8B">
      <w:pPr>
        <w:pStyle w:val="ConsPlusNormal"/>
        <w:ind w:left="-567" w:right="-426" w:firstLine="567"/>
        <w:jc w:val="both"/>
      </w:pPr>
    </w:p>
    <w:p w:rsidR="00972E8B" w:rsidRPr="008F571B" w:rsidRDefault="00972E8B" w:rsidP="00972E8B">
      <w:pPr>
        <w:pStyle w:val="ConsPlusNormal"/>
        <w:ind w:left="-567" w:right="-426" w:firstLine="567"/>
        <w:jc w:val="both"/>
      </w:pPr>
      <w:r w:rsidRPr="008F571B">
        <w:t>Участник электронного аукциона (далее - участник закупки) выражает со</w:t>
      </w:r>
      <w:r>
        <w:t>гласие на поставку товара</w:t>
      </w:r>
      <w:r w:rsidRPr="008F571B">
        <w:t xml:space="preserve"> на условиях, предусмотренных документацией об электронном аукционе и не подлежащих изменению по результатам проведения аукциона.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>Информация и документы, которые прилагаются участником закупки: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>наименование страны происхождения товара;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 xml:space="preserve">конкретные показатели товара, соответствующие значениям, установленным в документации об электронном </w:t>
      </w:r>
      <w:r w:rsidRPr="00972E8B">
        <w:t>аукционе, и указание на товарный знак;</w:t>
      </w:r>
    </w:p>
    <w:p w:rsidR="00972E8B" w:rsidRPr="008F571B" w:rsidRDefault="00972E8B" w:rsidP="00972E8B">
      <w:pPr>
        <w:pStyle w:val="ConsPlusNormal"/>
        <w:ind w:left="-567" w:right="-426" w:firstLine="567"/>
        <w:jc w:val="both"/>
      </w:pPr>
    </w:p>
    <w:p w:rsidR="00972E8B" w:rsidRPr="008F571B" w:rsidRDefault="00972E8B" w:rsidP="00972E8B">
      <w:pPr>
        <w:pStyle w:val="ConsPlusNormal"/>
        <w:ind w:left="-567" w:right="-426" w:firstLine="567"/>
        <w:jc w:val="center"/>
        <w:outlineLvl w:val="0"/>
      </w:pPr>
      <w:r w:rsidRPr="008F571B">
        <w:t>II. Вторая часть заявки на участие в электронном аукционе,</w:t>
      </w:r>
    </w:p>
    <w:p w:rsidR="00972E8B" w:rsidRPr="008F571B" w:rsidRDefault="00972E8B" w:rsidP="00972E8B">
      <w:pPr>
        <w:pStyle w:val="ConsPlusNormal"/>
        <w:ind w:left="-567" w:right="-426" w:firstLine="567"/>
        <w:jc w:val="center"/>
      </w:pPr>
      <w:r w:rsidRPr="008F571B">
        <w:t>закрытом аукционе в электронной форме</w:t>
      </w:r>
    </w:p>
    <w:p w:rsidR="00972E8B" w:rsidRPr="008F571B" w:rsidRDefault="00972E8B" w:rsidP="00972E8B">
      <w:pPr>
        <w:pStyle w:val="ConsPlusNormal"/>
        <w:ind w:left="-567" w:right="-426" w:firstLine="567"/>
        <w:jc w:val="both"/>
      </w:pPr>
    </w:p>
    <w:p w:rsidR="00972E8B" w:rsidRPr="008F571B" w:rsidRDefault="00972E8B" w:rsidP="00972E8B">
      <w:pPr>
        <w:pStyle w:val="ConsPlusNormal"/>
        <w:ind w:left="-567" w:right="-426" w:firstLine="567"/>
        <w:jc w:val="both"/>
      </w:pPr>
      <w:r w:rsidRPr="008F571B">
        <w:t>1. Информация об участнике закупки:</w:t>
      </w:r>
    </w:p>
    <w:p w:rsidR="00972E8B" w:rsidRPr="008F571B" w:rsidRDefault="00972E8B" w:rsidP="00972E8B">
      <w:pPr>
        <w:pStyle w:val="ConsPlusNormal"/>
        <w:ind w:left="-567" w:right="-426" w:firstLine="567"/>
        <w:jc w:val="both"/>
      </w:pPr>
    </w:p>
    <w:tbl>
      <w:tblPr>
        <w:tblW w:w="0" w:type="auto"/>
        <w:tblInd w:w="-5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37"/>
        <w:gridCol w:w="3572"/>
      </w:tblGrid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571B">
              <w:rPr>
                <w:rFonts w:ascii="Times New Roman" w:hAnsi="Times New Roman"/>
                <w:sz w:val="24"/>
                <w:szCs w:val="24"/>
              </w:rPr>
              <w:t>Наименование (включается, если участником закупки является юридическое лицо):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pStyle w:val="ConsPlusNormal"/>
              <w:ind w:right="-426"/>
            </w:pPr>
            <w:r w:rsidRPr="008F571B">
              <w:t>Фирменное наименование: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pStyle w:val="ConsPlusNormal"/>
              <w:ind w:right="-426"/>
            </w:pPr>
            <w:r w:rsidRPr="008F571B">
              <w:t>Место нахождения: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F571B">
              <w:rPr>
                <w:rFonts w:ascii="Times New Roman" w:hAnsi="Times New Roman"/>
                <w:sz w:val="24"/>
                <w:szCs w:val="24"/>
              </w:rPr>
              <w:t>Фамилия, имя, отчество (включается, если участником закупки является физическое лицо):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pStyle w:val="ConsPlusNormal"/>
              <w:ind w:right="-426"/>
            </w:pPr>
            <w:r w:rsidRPr="008F571B">
              <w:t>Паспортные данные (включается, если участником закупки является физическое лицо):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pStyle w:val="ConsPlusNormal"/>
              <w:ind w:right="-426"/>
            </w:pPr>
            <w:r w:rsidRPr="008F571B">
              <w:t>Место жительства (включается, если участником закупки является физическое лицо):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pStyle w:val="ConsPlusNormal"/>
              <w:ind w:right="-426"/>
            </w:pPr>
            <w:r w:rsidRPr="008F571B">
              <w:t>Почтовый адрес: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pStyle w:val="ConsPlusNormal"/>
              <w:ind w:right="-426"/>
            </w:pPr>
            <w:r w:rsidRPr="008F571B">
              <w:t>Номер контактного телефона: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pStyle w:val="ConsPlusNormal"/>
              <w:ind w:right="-426"/>
            </w:pPr>
            <w:r w:rsidRPr="008F571B">
              <w:t>Идентификационный номер налогоплательщика</w:t>
            </w:r>
            <w:hyperlink r:id="rId8" w:history="1"/>
            <w:r w:rsidRPr="008F571B">
              <w:t>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  <w:tr w:rsidR="00972E8B" w:rsidRPr="008F571B" w:rsidTr="009964F0">
        <w:tc>
          <w:tcPr>
            <w:tcW w:w="6237" w:type="dxa"/>
          </w:tcPr>
          <w:p w:rsidR="00972E8B" w:rsidRPr="008F571B" w:rsidRDefault="00972E8B" w:rsidP="009964F0">
            <w:pPr>
              <w:pStyle w:val="ConsPlusNormal"/>
              <w:ind w:right="51"/>
            </w:pPr>
            <w:r w:rsidRPr="008F571B">
              <w:t>Идентификационный номер налогоплательщика учредителей, членов коллегиального исполнительного органа, лица, исполняющего функции единоличного исполнительного органа участника закупки:</w:t>
            </w:r>
          </w:p>
        </w:tc>
        <w:tc>
          <w:tcPr>
            <w:tcW w:w="3572" w:type="dxa"/>
          </w:tcPr>
          <w:p w:rsidR="00972E8B" w:rsidRPr="008F571B" w:rsidRDefault="00972E8B" w:rsidP="009964F0">
            <w:pPr>
              <w:pStyle w:val="ConsPlusNormal"/>
              <w:ind w:left="-567" w:right="-426" w:firstLine="567"/>
            </w:pPr>
          </w:p>
        </w:tc>
      </w:tr>
    </w:tbl>
    <w:p w:rsidR="00972E8B" w:rsidRPr="008F571B" w:rsidRDefault="00972E8B" w:rsidP="00972E8B">
      <w:pPr>
        <w:pStyle w:val="ConsPlusNormal"/>
        <w:ind w:left="-567" w:right="-426" w:firstLine="567"/>
        <w:jc w:val="both"/>
      </w:pPr>
    </w:p>
    <w:p w:rsidR="00972E8B" w:rsidRPr="008F571B" w:rsidRDefault="00972E8B" w:rsidP="00972E8B">
      <w:pPr>
        <w:pStyle w:val="ConsPlusNormal"/>
        <w:ind w:left="-567" w:right="-426" w:firstLine="567"/>
        <w:jc w:val="both"/>
      </w:pPr>
      <w:r w:rsidRPr="008F571B">
        <w:t xml:space="preserve">2. Декларация о соответствии участника закупки требованиям, установленным </w:t>
      </w:r>
      <w:hyperlink r:id="rId9" w:history="1">
        <w:r w:rsidRPr="008F571B">
          <w:t>пунктами 3</w:t>
        </w:r>
      </w:hyperlink>
      <w:r w:rsidRPr="008F571B">
        <w:t xml:space="preserve"> - </w:t>
      </w:r>
      <w:hyperlink r:id="rId10" w:history="1">
        <w:r w:rsidRPr="008F571B">
          <w:t>9 части 1 статьи 31</w:t>
        </w:r>
      </w:hyperlink>
      <w:r w:rsidRPr="008F571B">
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 (далее - Федеральный закон), которой участник закупки декларирует: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proofErr w:type="spellStart"/>
      <w:r w:rsidRPr="008F571B">
        <w:t>непроведение</w:t>
      </w:r>
      <w:proofErr w:type="spellEnd"/>
      <w:r w:rsidRPr="008F571B">
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 или индивидуального предпринимателя несостоятельным (банкротом) и об открытии конкурсного производства;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proofErr w:type="spellStart"/>
      <w:r w:rsidRPr="008F571B">
        <w:t>неприостановление</w:t>
      </w:r>
      <w:proofErr w:type="spellEnd"/>
      <w:r w:rsidRPr="008F571B">
        <w:t xml:space="preserve"> деятельности участника закупки в порядке, установленном </w:t>
      </w:r>
      <w:hyperlink r:id="rId11" w:history="1">
        <w:r w:rsidRPr="008F571B">
          <w:t>Кодексом</w:t>
        </w:r>
      </w:hyperlink>
      <w:r w:rsidRPr="008F571B">
        <w:t xml:space="preserve"> Российской Федерации об административных правонарушениях, на дату подачи заявки на участие в закупке;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25 процентов балансовой стоимости активов участника закупки, по данным бухгалтерской отчетности за последний отчетный период;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 xml:space="preserve"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</w:t>
      </w:r>
      <w:hyperlink r:id="rId12" w:history="1">
        <w:r w:rsidRPr="008F571B">
          <w:t>статьями 289</w:t>
        </w:r>
      </w:hyperlink>
      <w:r w:rsidRPr="008F571B">
        <w:t xml:space="preserve">, </w:t>
      </w:r>
      <w:hyperlink r:id="rId13" w:history="1">
        <w:r w:rsidRPr="008F571B">
          <w:t>290</w:t>
        </w:r>
      </w:hyperlink>
      <w:r w:rsidRPr="008F571B">
        <w:t xml:space="preserve">, </w:t>
      </w:r>
      <w:hyperlink r:id="rId14" w:history="1">
        <w:r w:rsidRPr="008F571B">
          <w:t>291</w:t>
        </w:r>
      </w:hyperlink>
      <w:r w:rsidRPr="008F571B">
        <w:t xml:space="preserve">, </w:t>
      </w:r>
      <w:hyperlink r:id="rId15" w:history="1">
        <w:r w:rsidRPr="008F571B">
          <w:t>291.1</w:t>
        </w:r>
      </w:hyperlink>
      <w:r w:rsidRPr="008F571B">
        <w:t xml:space="preserve"> Уголовного кодекса Российской Федерации (за исключением лиц, у которых такая судимость погашена или снята),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 xml:space="preserve">участник закупки - юридическое лицо, которое в течение 2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</w:t>
      </w:r>
      <w:hyperlink r:id="rId16" w:history="1">
        <w:r w:rsidRPr="008F571B">
          <w:t>статьей 19.28</w:t>
        </w:r>
      </w:hyperlink>
      <w:r w:rsidRPr="008F571B">
        <w:t xml:space="preserve"> Кодекса Российской Федерации об административных правонарушениях;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 xml:space="preserve">обладание участником закупки исключительными правами на результаты интеллектуальной деятельности </w:t>
      </w:r>
      <w:hyperlink r:id="rId17" w:history="1">
        <w:r w:rsidRPr="008F571B">
          <w:t>&lt;9&gt;</w:t>
        </w:r>
      </w:hyperlink>
      <w:r w:rsidRPr="008F571B">
        <w:t>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 xml:space="preserve"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 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</w:r>
      <w:proofErr w:type="spellStart"/>
      <w:r w:rsidRPr="008F571B">
        <w:t>неполнородными</w:t>
      </w:r>
      <w:proofErr w:type="spellEnd"/>
      <w:r w:rsidRPr="008F571B">
        <w:t xml:space="preserve"> (имеющими общих отца или мать) братьями и сестрами), усыновителями или усыновленными указанных физических лиц.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>3.  Документы, прилагаемые участником закупки: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 xml:space="preserve">документы, подтверждающие соответствие участника закупки требованиям, установленным </w:t>
      </w:r>
      <w:hyperlink r:id="rId18" w:history="1">
        <w:r w:rsidRPr="008F571B">
          <w:t>пунктом 1 части 1 статьи 31</w:t>
        </w:r>
      </w:hyperlink>
      <w:r w:rsidRPr="008F571B">
        <w:t xml:space="preserve"> Федерального закона, или копии этих документов;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>копии документов, подтверждающих соответствие товара, работы или услуги требованиям, установленным в соответствии с законодательством Российской Федерации, в случае если в соответствии с законодательством Российской Федерации установлены требования к товару, работе или услуге и представление указанных документов предусмотрено документацией об электронном аукционе;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>решение об одобрении или о совершении крупной сделки либо копия данного решения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закупки заключаемый контракт или предоставление обеспечения заявки на участие в таком аукционе, обеспечения исполнения контракта является крупной сделкой;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8F571B">
        <w:t xml:space="preserve">документы, подтверждающие право участника закупки на получение преимуществ в соответствии со </w:t>
      </w:r>
      <w:hyperlink r:id="rId19" w:history="1">
        <w:r w:rsidRPr="008F571B">
          <w:t>статьями 28</w:t>
        </w:r>
      </w:hyperlink>
      <w:r w:rsidRPr="008F571B">
        <w:t xml:space="preserve"> и </w:t>
      </w:r>
      <w:hyperlink r:id="rId20" w:history="1">
        <w:r w:rsidRPr="008F571B">
          <w:t>29</w:t>
        </w:r>
      </w:hyperlink>
      <w:r w:rsidRPr="008F571B">
        <w:t xml:space="preserve"> Федерального закона, или копии таких документов;</w:t>
      </w:r>
    </w:p>
    <w:p w:rsidR="00972E8B" w:rsidRPr="008F571B" w:rsidRDefault="00972E8B" w:rsidP="00972E8B">
      <w:pPr>
        <w:pStyle w:val="ConsPlusNormal"/>
        <w:spacing w:before="220"/>
        <w:ind w:left="-567" w:right="-426" w:firstLine="567"/>
        <w:jc w:val="both"/>
      </w:pPr>
      <w:r w:rsidRPr="00972E8B">
        <w:t xml:space="preserve">документы, предусмотренные нормативными правовыми актами, принятыми в соответствии со </w:t>
      </w:r>
      <w:hyperlink r:id="rId21" w:history="1">
        <w:r w:rsidRPr="00972E8B">
          <w:t>статьей 14</w:t>
        </w:r>
      </w:hyperlink>
      <w:r w:rsidRPr="00972E8B">
        <w:t xml:space="preserve"> Федерального закона, или копии таких документов.</w:t>
      </w:r>
      <w:bookmarkStart w:id="0" w:name="_GoBack"/>
      <w:bookmarkEnd w:id="0"/>
    </w:p>
    <w:p w:rsidR="00972E8B" w:rsidRPr="008F571B" w:rsidRDefault="00972E8B" w:rsidP="00972E8B">
      <w:pPr>
        <w:pStyle w:val="ConsPlusNormal"/>
        <w:ind w:left="-567" w:right="-426" w:firstLine="567"/>
      </w:pPr>
      <w:r w:rsidRPr="008F571B">
        <w:br/>
      </w:r>
    </w:p>
    <w:p w:rsidR="00972E8B" w:rsidRPr="008F571B" w:rsidRDefault="00972E8B" w:rsidP="00972E8B">
      <w:pPr>
        <w:ind w:left="-567" w:right="-426" w:firstLine="567"/>
        <w:rPr>
          <w:rFonts w:ascii="Times New Roman" w:hAnsi="Times New Roman"/>
          <w:sz w:val="24"/>
          <w:szCs w:val="24"/>
        </w:rPr>
      </w:pPr>
    </w:p>
    <w:p w:rsidR="003B5978" w:rsidRDefault="003B5978" w:rsidP="003B5978">
      <w:pPr>
        <w:widowControl w:val="0"/>
        <w:autoSpaceDE w:val="0"/>
        <w:autoSpaceDN w:val="0"/>
        <w:ind w:left="-567" w:right="-426"/>
        <w:jc w:val="center"/>
        <w:rPr>
          <w:rFonts w:ascii="Times New Roman" w:hAnsi="Times New Roman"/>
          <w:sz w:val="24"/>
          <w:szCs w:val="24"/>
          <w:lang w:eastAsia="ru-RU"/>
        </w:rPr>
      </w:pPr>
    </w:p>
    <w:sectPr w:rsidR="003B5978" w:rsidSect="001F5141">
      <w:headerReference w:type="default" r:id="rId22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F21" w:rsidRDefault="00664F21" w:rsidP="00B600B7">
      <w:r>
        <w:separator/>
      </w:r>
    </w:p>
  </w:endnote>
  <w:endnote w:type="continuationSeparator" w:id="0">
    <w:p w:rsidR="00664F21" w:rsidRDefault="00664F21" w:rsidP="00B60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F21" w:rsidRDefault="00664F21" w:rsidP="00B600B7">
      <w:r>
        <w:separator/>
      </w:r>
    </w:p>
  </w:footnote>
  <w:footnote w:type="continuationSeparator" w:id="0">
    <w:p w:rsidR="00664F21" w:rsidRDefault="00664F21" w:rsidP="00B600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3715425"/>
      <w:docPartObj>
        <w:docPartGallery w:val="Page Numbers (Top of Page)"/>
        <w:docPartUnique/>
      </w:docPartObj>
    </w:sdtPr>
    <w:sdtEndPr/>
    <w:sdtContent>
      <w:p w:rsidR="0032266B" w:rsidRDefault="0032266B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2E8B">
          <w:rPr>
            <w:noProof/>
          </w:rPr>
          <w:t>4</w:t>
        </w:r>
        <w:r>
          <w:fldChar w:fldCharType="end"/>
        </w:r>
      </w:p>
    </w:sdtContent>
  </w:sdt>
  <w:p w:rsidR="0032266B" w:rsidRDefault="0032266B">
    <w:pPr>
      <w:pStyle w:val="af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B5EC3"/>
    <w:multiLevelType w:val="hybridMultilevel"/>
    <w:tmpl w:val="67B87542"/>
    <w:lvl w:ilvl="0" w:tplc="D6AC45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AD"/>
    <w:rsid w:val="00011D1C"/>
    <w:rsid w:val="00024E6B"/>
    <w:rsid w:val="000347FF"/>
    <w:rsid w:val="00035C21"/>
    <w:rsid w:val="00047CE5"/>
    <w:rsid w:val="00055792"/>
    <w:rsid w:val="00065ACD"/>
    <w:rsid w:val="00070200"/>
    <w:rsid w:val="00071483"/>
    <w:rsid w:val="000723AA"/>
    <w:rsid w:val="000B6367"/>
    <w:rsid w:val="000B74D5"/>
    <w:rsid w:val="000C7C86"/>
    <w:rsid w:val="000E5787"/>
    <w:rsid w:val="00103FA9"/>
    <w:rsid w:val="00104D63"/>
    <w:rsid w:val="00133AB1"/>
    <w:rsid w:val="00162D40"/>
    <w:rsid w:val="00180056"/>
    <w:rsid w:val="00181029"/>
    <w:rsid w:val="00190F87"/>
    <w:rsid w:val="0019323E"/>
    <w:rsid w:val="001B5C4F"/>
    <w:rsid w:val="001B7105"/>
    <w:rsid w:val="001B7A5A"/>
    <w:rsid w:val="001B7ECA"/>
    <w:rsid w:val="001C0EBB"/>
    <w:rsid w:val="001C1E28"/>
    <w:rsid w:val="001C740F"/>
    <w:rsid w:val="001D22A1"/>
    <w:rsid w:val="001D7D69"/>
    <w:rsid w:val="001F5141"/>
    <w:rsid w:val="002348D8"/>
    <w:rsid w:val="002444A3"/>
    <w:rsid w:val="00270FD2"/>
    <w:rsid w:val="002776A2"/>
    <w:rsid w:val="00280148"/>
    <w:rsid w:val="0028375C"/>
    <w:rsid w:val="002956FC"/>
    <w:rsid w:val="002A1F7D"/>
    <w:rsid w:val="002A39E1"/>
    <w:rsid w:val="002B058D"/>
    <w:rsid w:val="002B1150"/>
    <w:rsid w:val="002B33F5"/>
    <w:rsid w:val="002C61CC"/>
    <w:rsid w:val="002D065F"/>
    <w:rsid w:val="002D1C41"/>
    <w:rsid w:val="002D5804"/>
    <w:rsid w:val="002E5424"/>
    <w:rsid w:val="0032266B"/>
    <w:rsid w:val="0033091C"/>
    <w:rsid w:val="003350AD"/>
    <w:rsid w:val="00336438"/>
    <w:rsid w:val="00342F09"/>
    <w:rsid w:val="00373D47"/>
    <w:rsid w:val="0038268B"/>
    <w:rsid w:val="00387D4B"/>
    <w:rsid w:val="003A0DAD"/>
    <w:rsid w:val="003A391A"/>
    <w:rsid w:val="003A5DEE"/>
    <w:rsid w:val="003B010D"/>
    <w:rsid w:val="003B3DFF"/>
    <w:rsid w:val="003B4FC5"/>
    <w:rsid w:val="003B5978"/>
    <w:rsid w:val="003B6134"/>
    <w:rsid w:val="003C78D2"/>
    <w:rsid w:val="003D7505"/>
    <w:rsid w:val="003E5E39"/>
    <w:rsid w:val="003F373A"/>
    <w:rsid w:val="00401F3D"/>
    <w:rsid w:val="0040424C"/>
    <w:rsid w:val="00407BA0"/>
    <w:rsid w:val="00407ED1"/>
    <w:rsid w:val="004311CF"/>
    <w:rsid w:val="00440D92"/>
    <w:rsid w:val="0047325F"/>
    <w:rsid w:val="0048136E"/>
    <w:rsid w:val="00485CCB"/>
    <w:rsid w:val="004A6275"/>
    <w:rsid w:val="004C036E"/>
    <w:rsid w:val="004F447F"/>
    <w:rsid w:val="00536CCB"/>
    <w:rsid w:val="00552ABF"/>
    <w:rsid w:val="00577BF1"/>
    <w:rsid w:val="005A019F"/>
    <w:rsid w:val="005B7C1A"/>
    <w:rsid w:val="005F1891"/>
    <w:rsid w:val="005F4D2A"/>
    <w:rsid w:val="005F789A"/>
    <w:rsid w:val="00600E9E"/>
    <w:rsid w:val="006022F7"/>
    <w:rsid w:val="006045CB"/>
    <w:rsid w:val="00607A08"/>
    <w:rsid w:val="0065310E"/>
    <w:rsid w:val="00657A7C"/>
    <w:rsid w:val="00664F21"/>
    <w:rsid w:val="00665052"/>
    <w:rsid w:val="006663C8"/>
    <w:rsid w:val="00687BB8"/>
    <w:rsid w:val="00696B76"/>
    <w:rsid w:val="006A454D"/>
    <w:rsid w:val="006B3434"/>
    <w:rsid w:val="00717265"/>
    <w:rsid w:val="00733E7B"/>
    <w:rsid w:val="00735A10"/>
    <w:rsid w:val="00737060"/>
    <w:rsid w:val="007524F3"/>
    <w:rsid w:val="007B121D"/>
    <w:rsid w:val="007E7148"/>
    <w:rsid w:val="0081201B"/>
    <w:rsid w:val="008300A2"/>
    <w:rsid w:val="00837616"/>
    <w:rsid w:val="00844FB6"/>
    <w:rsid w:val="0086666E"/>
    <w:rsid w:val="00875759"/>
    <w:rsid w:val="00876DA0"/>
    <w:rsid w:val="00883C76"/>
    <w:rsid w:val="008A1B85"/>
    <w:rsid w:val="008E0658"/>
    <w:rsid w:val="00924F45"/>
    <w:rsid w:val="00953F2A"/>
    <w:rsid w:val="00970CBB"/>
    <w:rsid w:val="00972E8B"/>
    <w:rsid w:val="00985F62"/>
    <w:rsid w:val="0098602C"/>
    <w:rsid w:val="00987312"/>
    <w:rsid w:val="009971D2"/>
    <w:rsid w:val="009A5472"/>
    <w:rsid w:val="00A25F18"/>
    <w:rsid w:val="00A75DBC"/>
    <w:rsid w:val="00A85A90"/>
    <w:rsid w:val="00A92DA5"/>
    <w:rsid w:val="00AA5E65"/>
    <w:rsid w:val="00AC459E"/>
    <w:rsid w:val="00AD3A09"/>
    <w:rsid w:val="00AE5854"/>
    <w:rsid w:val="00AF0947"/>
    <w:rsid w:val="00AF51EA"/>
    <w:rsid w:val="00B05B26"/>
    <w:rsid w:val="00B17FF0"/>
    <w:rsid w:val="00B213D8"/>
    <w:rsid w:val="00B5525E"/>
    <w:rsid w:val="00B600B7"/>
    <w:rsid w:val="00B604C7"/>
    <w:rsid w:val="00B62A59"/>
    <w:rsid w:val="00B666F5"/>
    <w:rsid w:val="00B75EA0"/>
    <w:rsid w:val="00BB2AD6"/>
    <w:rsid w:val="00BD5776"/>
    <w:rsid w:val="00BE1865"/>
    <w:rsid w:val="00BF1DC4"/>
    <w:rsid w:val="00BF5900"/>
    <w:rsid w:val="00C1441B"/>
    <w:rsid w:val="00C44D17"/>
    <w:rsid w:val="00C45DC1"/>
    <w:rsid w:val="00C66758"/>
    <w:rsid w:val="00C7215C"/>
    <w:rsid w:val="00C72317"/>
    <w:rsid w:val="00C8231C"/>
    <w:rsid w:val="00C91742"/>
    <w:rsid w:val="00C91FA4"/>
    <w:rsid w:val="00C93E4E"/>
    <w:rsid w:val="00CA04F0"/>
    <w:rsid w:val="00CB304D"/>
    <w:rsid w:val="00CB4F6C"/>
    <w:rsid w:val="00CC11E9"/>
    <w:rsid w:val="00CC143C"/>
    <w:rsid w:val="00CC1DCA"/>
    <w:rsid w:val="00CC3C72"/>
    <w:rsid w:val="00CC490D"/>
    <w:rsid w:val="00CC6290"/>
    <w:rsid w:val="00CD3BD9"/>
    <w:rsid w:val="00D56916"/>
    <w:rsid w:val="00D839D8"/>
    <w:rsid w:val="00D97102"/>
    <w:rsid w:val="00DA6102"/>
    <w:rsid w:val="00DB6A17"/>
    <w:rsid w:val="00DD59A7"/>
    <w:rsid w:val="00DE11FE"/>
    <w:rsid w:val="00E332A2"/>
    <w:rsid w:val="00E43819"/>
    <w:rsid w:val="00E45297"/>
    <w:rsid w:val="00E47BA1"/>
    <w:rsid w:val="00E569E6"/>
    <w:rsid w:val="00E747DE"/>
    <w:rsid w:val="00E77448"/>
    <w:rsid w:val="00E8674F"/>
    <w:rsid w:val="00E86A1A"/>
    <w:rsid w:val="00E90DA0"/>
    <w:rsid w:val="00EC5A5D"/>
    <w:rsid w:val="00ED42E2"/>
    <w:rsid w:val="00EE0B28"/>
    <w:rsid w:val="00F1150E"/>
    <w:rsid w:val="00F17B4B"/>
    <w:rsid w:val="00F26752"/>
    <w:rsid w:val="00F327D0"/>
    <w:rsid w:val="00F62A3A"/>
    <w:rsid w:val="00F63453"/>
    <w:rsid w:val="00F72770"/>
    <w:rsid w:val="00F75DD2"/>
    <w:rsid w:val="00F81571"/>
    <w:rsid w:val="00FA2720"/>
    <w:rsid w:val="00FC7816"/>
    <w:rsid w:val="00FE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6761"/>
  <w15:docId w15:val="{6FB01F71-CC0A-4E21-9076-8613B5827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1865"/>
    <w:pPr>
      <w:spacing w:after="0" w:line="240" w:lineRule="auto"/>
      <w:jc w:val="both"/>
    </w:pPr>
    <w:rPr>
      <w:rFonts w:ascii="Arial" w:eastAsia="Times New Roman" w:hAnsi="Arial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62D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2D4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aliases w:val="H3"/>
    <w:basedOn w:val="a"/>
    <w:next w:val="a"/>
    <w:link w:val="30"/>
    <w:qFormat/>
    <w:rsid w:val="00B600B7"/>
    <w:pPr>
      <w:keepNext/>
      <w:numPr>
        <w:ilvl w:val="2"/>
        <w:numId w:val="2"/>
      </w:numPr>
      <w:spacing w:before="240" w:after="60"/>
      <w:outlineLvl w:val="2"/>
    </w:pPr>
    <w:rPr>
      <w:b/>
      <w:sz w:val="24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B600B7"/>
    <w:pPr>
      <w:keepNext/>
      <w:numPr>
        <w:ilvl w:val="3"/>
        <w:numId w:val="2"/>
      </w:numPr>
      <w:spacing w:before="240" w:after="60"/>
      <w:outlineLvl w:val="3"/>
    </w:pPr>
    <w:rPr>
      <w:sz w:val="24"/>
      <w:lang w:eastAsia="ru-RU"/>
    </w:rPr>
  </w:style>
  <w:style w:type="paragraph" w:styleId="5">
    <w:name w:val="heading 5"/>
    <w:aliases w:val="H5"/>
    <w:basedOn w:val="a"/>
    <w:next w:val="a"/>
    <w:link w:val="50"/>
    <w:qFormat/>
    <w:rsid w:val="00B600B7"/>
    <w:pPr>
      <w:numPr>
        <w:ilvl w:val="4"/>
        <w:numId w:val="2"/>
      </w:numPr>
      <w:spacing w:before="240" w:after="60"/>
      <w:outlineLvl w:val="4"/>
    </w:pPr>
    <w:rPr>
      <w:rFonts w:ascii="Times New Roman" w:hAnsi="Times New Roman"/>
      <w:sz w:val="22"/>
      <w:lang w:eastAsia="ru-RU"/>
    </w:rPr>
  </w:style>
  <w:style w:type="paragraph" w:styleId="6">
    <w:name w:val="heading 6"/>
    <w:basedOn w:val="a"/>
    <w:next w:val="a"/>
    <w:link w:val="60"/>
    <w:qFormat/>
    <w:rsid w:val="00B600B7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i/>
      <w:sz w:val="22"/>
      <w:lang w:eastAsia="ru-RU"/>
    </w:rPr>
  </w:style>
  <w:style w:type="paragraph" w:styleId="7">
    <w:name w:val="heading 7"/>
    <w:basedOn w:val="a"/>
    <w:next w:val="a"/>
    <w:link w:val="70"/>
    <w:qFormat/>
    <w:rsid w:val="00B600B7"/>
    <w:pPr>
      <w:numPr>
        <w:ilvl w:val="6"/>
        <w:numId w:val="2"/>
      </w:numPr>
      <w:spacing w:before="240" w:after="60"/>
      <w:outlineLvl w:val="6"/>
    </w:pPr>
    <w:rPr>
      <w:lang w:eastAsia="ru-RU"/>
    </w:rPr>
  </w:style>
  <w:style w:type="paragraph" w:styleId="8">
    <w:name w:val="heading 8"/>
    <w:basedOn w:val="a"/>
    <w:next w:val="a"/>
    <w:link w:val="80"/>
    <w:qFormat/>
    <w:rsid w:val="00B600B7"/>
    <w:pPr>
      <w:numPr>
        <w:ilvl w:val="7"/>
        <w:numId w:val="2"/>
      </w:numPr>
      <w:spacing w:before="240" w:after="60"/>
      <w:outlineLvl w:val="7"/>
    </w:pPr>
    <w:rPr>
      <w:i/>
      <w:lang w:eastAsia="ru-RU"/>
    </w:rPr>
  </w:style>
  <w:style w:type="paragraph" w:styleId="9">
    <w:name w:val="heading 9"/>
    <w:basedOn w:val="a"/>
    <w:next w:val="a"/>
    <w:link w:val="90"/>
    <w:qFormat/>
    <w:rsid w:val="00B600B7"/>
    <w:pPr>
      <w:numPr>
        <w:ilvl w:val="8"/>
        <w:numId w:val="2"/>
      </w:numPr>
      <w:spacing w:before="240" w:after="60"/>
      <w:outlineLvl w:val="8"/>
    </w:pPr>
    <w:rPr>
      <w:b/>
      <w:i/>
      <w:sz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8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7B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F1891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val="de-DE" w:eastAsia="fa-IR" w:bidi="fa-IR"/>
    </w:rPr>
  </w:style>
  <w:style w:type="paragraph" w:customStyle="1" w:styleId="11">
    <w:name w:val="Основной текст1"/>
    <w:basedOn w:val="a"/>
    <w:link w:val="12"/>
    <w:rsid w:val="005F1891"/>
    <w:pPr>
      <w:spacing w:before="60" w:after="60"/>
      <w:ind w:firstLine="720"/>
    </w:pPr>
    <w:rPr>
      <w:rFonts w:ascii="Calibri" w:hAnsi="Calibri"/>
      <w:sz w:val="24"/>
      <w:lang w:eastAsia="ru-RU"/>
    </w:rPr>
  </w:style>
  <w:style w:type="character" w:customStyle="1" w:styleId="12">
    <w:name w:val="Основной текст1 Знак"/>
    <w:link w:val="11"/>
    <w:locked/>
    <w:rsid w:val="005F1891"/>
    <w:rPr>
      <w:rFonts w:ascii="Calibri" w:eastAsia="Times New Roman" w:hAnsi="Calibri" w:cs="Times New Roman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3C78D2"/>
    <w:pPr>
      <w:ind w:left="720"/>
      <w:contextualSpacing/>
    </w:pPr>
  </w:style>
  <w:style w:type="character" w:customStyle="1" w:styleId="30">
    <w:name w:val="Заголовок 3 Знак"/>
    <w:aliases w:val="H3 Знак"/>
    <w:basedOn w:val="a0"/>
    <w:link w:val="3"/>
    <w:rsid w:val="00B600B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B600B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0">
    <w:name w:val="Заголовок 5 Знак"/>
    <w:aliases w:val="H5 Знак"/>
    <w:basedOn w:val="a0"/>
    <w:link w:val="5"/>
    <w:rsid w:val="00B600B7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B600B7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B600B7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B600B7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B600B7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postbody1">
    <w:name w:val="postbody1"/>
    <w:basedOn w:val="a0"/>
    <w:rsid w:val="00B600B7"/>
    <w:rPr>
      <w:sz w:val="18"/>
      <w:szCs w:val="18"/>
    </w:rPr>
  </w:style>
  <w:style w:type="paragraph" w:styleId="a5">
    <w:name w:val="Title"/>
    <w:basedOn w:val="a"/>
    <w:link w:val="a6"/>
    <w:qFormat/>
    <w:rsid w:val="00B600B7"/>
    <w:pPr>
      <w:spacing w:before="240" w:after="60"/>
      <w:jc w:val="center"/>
      <w:outlineLvl w:val="0"/>
    </w:pPr>
    <w:rPr>
      <w:b/>
      <w:kern w:val="28"/>
      <w:sz w:val="32"/>
      <w:lang w:eastAsia="ru-RU"/>
    </w:rPr>
  </w:style>
  <w:style w:type="character" w:customStyle="1" w:styleId="a6">
    <w:name w:val="Заголовок Знак"/>
    <w:basedOn w:val="a0"/>
    <w:link w:val="a5"/>
    <w:rsid w:val="00B600B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B600B7"/>
    <w:rPr>
      <w:rFonts w:ascii="Times New Roman" w:hAnsi="Times New Roman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B600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B600B7"/>
    <w:rPr>
      <w:vertAlign w:val="superscript"/>
    </w:rPr>
  </w:style>
  <w:style w:type="character" w:styleId="aa">
    <w:name w:val="Hyperlink"/>
    <w:basedOn w:val="a0"/>
    <w:uiPriority w:val="99"/>
    <w:unhideWhenUsed/>
    <w:rsid w:val="00BD5776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837616"/>
    <w:rPr>
      <w:rFonts w:cs="Arial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37616"/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162D4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62D4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customStyle="1" w:styleId="13">
    <w:name w:val="Сетка таблицы1"/>
    <w:basedOn w:val="a1"/>
    <w:next w:val="a3"/>
    <w:uiPriority w:val="59"/>
    <w:rsid w:val="00162D40"/>
    <w:pPr>
      <w:spacing w:after="0" w:line="240" w:lineRule="auto"/>
      <w:jc w:val="center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Гипертекстовая ссылка"/>
    <w:basedOn w:val="a0"/>
    <w:uiPriority w:val="99"/>
    <w:rsid w:val="00985F62"/>
    <w:rPr>
      <w:color w:val="106BBE"/>
    </w:rPr>
  </w:style>
  <w:style w:type="paragraph" w:styleId="ae">
    <w:name w:val="Document Map"/>
    <w:basedOn w:val="a"/>
    <w:link w:val="af"/>
    <w:uiPriority w:val="99"/>
    <w:semiHidden/>
    <w:unhideWhenUsed/>
    <w:rsid w:val="00011D1C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011D1C"/>
    <w:rPr>
      <w:rFonts w:ascii="Tahoma" w:eastAsia="Times New Roman" w:hAnsi="Tahoma" w:cs="Tahoma"/>
      <w:sz w:val="16"/>
      <w:szCs w:val="16"/>
    </w:rPr>
  </w:style>
  <w:style w:type="paragraph" w:styleId="af0">
    <w:name w:val="header"/>
    <w:basedOn w:val="a"/>
    <w:link w:val="af1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32266B"/>
    <w:rPr>
      <w:rFonts w:ascii="Arial" w:eastAsia="Times New Roman" w:hAnsi="Arial" w:cs="Times New Roman"/>
      <w:sz w:val="20"/>
      <w:szCs w:val="20"/>
    </w:rPr>
  </w:style>
  <w:style w:type="paragraph" w:styleId="af2">
    <w:name w:val="footer"/>
    <w:basedOn w:val="a"/>
    <w:link w:val="af3"/>
    <w:uiPriority w:val="99"/>
    <w:unhideWhenUsed/>
    <w:rsid w:val="0032266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32266B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2FCEDB1B17D3082622A7CDBF34475D8A3FB70DDBDF9FC3654C40738AE2B2A5C2930C51EA7B2CE8C99DA4A19D2C8682AB0472C30FDAA3A78f7pBE" TargetMode="External"/><Relationship Id="rId13" Type="http://schemas.openxmlformats.org/officeDocument/2006/relationships/hyperlink" Target="consultantplus://offline/ref=D2FCEDB1B17D3082622A7CDBF34475D8A3FB73D2B2FCFC3654C40738AE2B2A5C2930C51DA7B7CB86CA805A1D9B9C6035B4583333E3A9f3p3E" TargetMode="External"/><Relationship Id="rId18" Type="http://schemas.openxmlformats.org/officeDocument/2006/relationships/hyperlink" Target="consultantplus://offline/ref=D2FCEDB1B17D3082622A7CDBF34475D8A3FA72D7BEF4FC3654C40738AE2B2A5C2930C51EA7B2CC8E98DA4A19D2C8682AB0472C30FDAA3A78f7pBE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D2FCEDB1B17D3082622A7CDBF34475D8A3FA72D7BEF4FC3654C40738AE2B2A5C2930C51EA7B2CE8C98DA4A19D2C8682AB0472C30FDAA3A78f7pBE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D2FCEDB1B17D3082622A7CDBF34475D8A3FB73D2B2FCFC3654C40738AE2B2A5C2930C51EA7B3C78499DA4A19D2C8682AB0472C30FDAA3A78f7pBE" TargetMode="External"/><Relationship Id="rId17" Type="http://schemas.openxmlformats.org/officeDocument/2006/relationships/hyperlink" Target="consultantplus://offline/ref=D2FCEDB1B17D3082622A7CDBF34475D8A3FB70DDBDF9FC3654C40738AE2B2A5C2930C51EA7B2CE8C96DA4A19D2C8682AB0472C30FDAA3A78f7pB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D2FCEDB1B17D3082622A7CDBF34475D8A3FB76D1BBFFFC3654C40738AE2B2A5C2930C51DA1B0CF86CA805A1D9B9C6035B4583333E3A9f3p3E" TargetMode="External"/><Relationship Id="rId20" Type="http://schemas.openxmlformats.org/officeDocument/2006/relationships/hyperlink" Target="consultantplus://offline/ref=D2FCEDB1B17D3082622A7CDBF34475D8A3FA72D7BEF4FC3654C40738AE2B2A5C2930C51EA7B2CC8F9CDA4A19D2C8682AB0472C30FDAA3A78f7pBE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D2FCEDB1B17D3082622A7CDBF34475D8A3FB76D1BBFFFC3654C40738AE2B2A5C2930C51AA6B0C4D9CF954B4597987B2AB4472F31E2fAp1E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D2FCEDB1B17D3082622A7CDBF34475D8A3FB73D2B2FCFC3654C40738AE2B2A5C2930C51DA7BAC986CA805A1D9B9C6035B4583333E3A9f3p3E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D2FCEDB1B17D3082622A7CDBF34475D8A3FA72D7BEF4FC3654C40738AE2B2A5C2930C51EA7B3C88D97DA4A19D2C8682AB0472C30FDAA3A78f7pBE" TargetMode="External"/><Relationship Id="rId19" Type="http://schemas.openxmlformats.org/officeDocument/2006/relationships/hyperlink" Target="consultantplus://offline/ref=D2FCEDB1B17D3082622A7CDBF34475D8A3FA72D7BEF4FC3654C40738AE2B2A5C2930C51EA7B2CC8C97DA4A19D2C8682AB0472C30FDAA3A78f7p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2FCEDB1B17D3082622A7CDBF34475D8A3FA72D7BEF4FC3654C40738AE2B2A5C2930C51EA7B2CC8E96DA4A19D2C8682AB0472C30FDAA3A78f7pBE" TargetMode="External"/><Relationship Id="rId14" Type="http://schemas.openxmlformats.org/officeDocument/2006/relationships/hyperlink" Target="consultantplus://offline/ref=D2FCEDB1B17D3082622A7CDBF34475D8A3FB73D2B2FCFC3654C40738AE2B2A5C2930C51DA7B5CD86CA805A1D9B9C6035B4583333E3A9f3p3E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AFA860-A65B-46B8-969E-835BCC778E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2478</Words>
  <Characters>14131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Трофимов Антон Евгеньевич</dc:creator>
  <cp:lastModifiedBy>OLESYA</cp:lastModifiedBy>
  <cp:revision>13</cp:revision>
  <cp:lastPrinted>2019-01-21T10:10:00Z</cp:lastPrinted>
  <dcterms:created xsi:type="dcterms:W3CDTF">2019-02-04T10:19:00Z</dcterms:created>
  <dcterms:modified xsi:type="dcterms:W3CDTF">2020-10-09T03:49:00Z</dcterms:modified>
</cp:coreProperties>
</file>