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4856" w:type="dxa"/>
        <w:tblInd w:w="5070" w:type="dxa"/>
        <w:tblLayout w:type="fixed"/>
        <w:tblLook w:val="04A0" w:firstRow="1" w:lastRow="0" w:firstColumn="1" w:lastColumn="0" w:noHBand="0" w:noVBand="1"/>
      </w:tblPr>
      <w:tblGrid>
        <w:gridCol w:w="283"/>
        <w:gridCol w:w="569"/>
        <w:gridCol w:w="283"/>
        <w:gridCol w:w="1132"/>
        <w:gridCol w:w="284"/>
        <w:gridCol w:w="427"/>
        <w:gridCol w:w="283"/>
        <w:gridCol w:w="426"/>
        <w:gridCol w:w="345"/>
        <w:gridCol w:w="48"/>
        <w:gridCol w:w="540"/>
        <w:gridCol w:w="142"/>
        <w:gridCol w:w="94"/>
      </w:tblGrid>
      <w:tr w:rsidR="008941BF" w:rsidRPr="009E368C" w14:paraId="22CE731F" w14:textId="77777777" w:rsidTr="00FA2F40">
        <w:trPr>
          <w:gridAfter w:val="3"/>
          <w:wAfter w:w="776" w:type="dxa"/>
        </w:trPr>
        <w:tc>
          <w:tcPr>
            <w:tcW w:w="4080" w:type="dxa"/>
            <w:gridSpan w:val="10"/>
            <w:tcBorders>
              <w:top w:val="nil"/>
              <w:left w:val="nil"/>
              <w:bottom w:val="nil"/>
              <w:right w:val="nil"/>
            </w:tcBorders>
            <w:vAlign w:val="center"/>
          </w:tcPr>
          <w:p w14:paraId="65EF2795" w14:textId="77777777" w:rsidR="008941BF" w:rsidRPr="009E368C" w:rsidRDefault="008941BF" w:rsidP="00FA2F40">
            <w:pPr>
              <w:rPr>
                <w:b/>
              </w:rPr>
            </w:pPr>
            <w:bookmarkStart w:id="0" w:name="_Toc473809264"/>
            <w:bookmarkStart w:id="1" w:name="Тех_часть"/>
            <w:bookmarkStart w:id="2" w:name="_Toc180148399"/>
            <w:bookmarkStart w:id="3" w:name="_Toc246846261"/>
            <w:r w:rsidRPr="009E368C">
              <w:rPr>
                <w:b/>
              </w:rPr>
              <w:t>УТВЕРЖДАЮ:</w:t>
            </w:r>
          </w:p>
        </w:tc>
      </w:tr>
      <w:tr w:rsidR="008941BF" w:rsidRPr="00876024" w14:paraId="108DDB70" w14:textId="77777777" w:rsidTr="00FA2F40">
        <w:trPr>
          <w:gridAfter w:val="1"/>
          <w:wAfter w:w="94" w:type="dxa"/>
          <w:trHeight w:val="125"/>
        </w:trPr>
        <w:tc>
          <w:tcPr>
            <w:tcW w:w="4762" w:type="dxa"/>
            <w:gridSpan w:val="12"/>
            <w:tcBorders>
              <w:top w:val="nil"/>
              <w:left w:val="nil"/>
              <w:bottom w:val="single" w:sz="4" w:space="0" w:color="auto"/>
              <w:right w:val="nil"/>
            </w:tcBorders>
            <w:vAlign w:val="bottom"/>
          </w:tcPr>
          <w:p w14:paraId="652326A1" w14:textId="77777777" w:rsidR="008941BF" w:rsidRPr="00876024" w:rsidRDefault="008941BF" w:rsidP="00FA2F40">
            <w:r>
              <w:t>Г</w:t>
            </w:r>
            <w:r w:rsidRPr="00876024">
              <w:t>лавн</w:t>
            </w:r>
            <w:r>
              <w:t>ый</w:t>
            </w:r>
            <w:r w:rsidRPr="00876024">
              <w:t xml:space="preserve"> врач</w:t>
            </w:r>
          </w:p>
        </w:tc>
      </w:tr>
      <w:tr w:rsidR="008941BF" w:rsidRPr="00876024" w14:paraId="74DC54F1" w14:textId="77777777" w:rsidTr="00FA2F40">
        <w:trPr>
          <w:gridAfter w:val="1"/>
          <w:wAfter w:w="94" w:type="dxa"/>
          <w:trHeight w:val="128"/>
        </w:trPr>
        <w:tc>
          <w:tcPr>
            <w:tcW w:w="4762" w:type="dxa"/>
            <w:gridSpan w:val="12"/>
            <w:tcBorders>
              <w:top w:val="single" w:sz="4" w:space="0" w:color="auto"/>
              <w:left w:val="nil"/>
              <w:bottom w:val="nil"/>
              <w:right w:val="nil"/>
            </w:tcBorders>
            <w:vAlign w:val="center"/>
          </w:tcPr>
          <w:p w14:paraId="2D280F36" w14:textId="77777777" w:rsidR="008941BF" w:rsidRPr="00876024" w:rsidRDefault="008941BF" w:rsidP="00FA2F40">
            <w:pPr>
              <w:jc w:val="center"/>
              <w:rPr>
                <w:sz w:val="20"/>
                <w:szCs w:val="20"/>
                <w:vertAlign w:val="superscript"/>
              </w:rPr>
            </w:pPr>
            <w:r w:rsidRPr="00876024">
              <w:rPr>
                <w:sz w:val="20"/>
                <w:szCs w:val="20"/>
                <w:vertAlign w:val="superscript"/>
              </w:rPr>
              <w:t>(должность)</w:t>
            </w:r>
          </w:p>
        </w:tc>
      </w:tr>
      <w:tr w:rsidR="008941BF" w:rsidRPr="00876024" w14:paraId="5E652E71" w14:textId="77777777" w:rsidTr="00FA2F40">
        <w:trPr>
          <w:gridAfter w:val="1"/>
          <w:wAfter w:w="94" w:type="dxa"/>
          <w:trHeight w:val="259"/>
        </w:trPr>
        <w:tc>
          <w:tcPr>
            <w:tcW w:w="4762" w:type="dxa"/>
            <w:gridSpan w:val="12"/>
            <w:tcBorders>
              <w:top w:val="nil"/>
              <w:left w:val="nil"/>
              <w:bottom w:val="single" w:sz="4" w:space="0" w:color="auto"/>
              <w:right w:val="nil"/>
            </w:tcBorders>
            <w:vAlign w:val="bottom"/>
          </w:tcPr>
          <w:p w14:paraId="43B3A8F2" w14:textId="77777777" w:rsidR="008941BF" w:rsidRPr="00876024" w:rsidRDefault="008941BF" w:rsidP="00FA2F40">
            <w:r w:rsidRPr="00876024">
              <w:t>ГБУЗ СО «Нижнетуринская ЦГБ»</w:t>
            </w:r>
          </w:p>
        </w:tc>
      </w:tr>
      <w:tr w:rsidR="008941BF" w:rsidRPr="00876024" w14:paraId="0805A9BB" w14:textId="77777777" w:rsidTr="00FA2F40">
        <w:trPr>
          <w:gridAfter w:val="3"/>
          <w:wAfter w:w="776" w:type="dxa"/>
        </w:trPr>
        <w:tc>
          <w:tcPr>
            <w:tcW w:w="4080" w:type="dxa"/>
            <w:gridSpan w:val="10"/>
            <w:tcBorders>
              <w:top w:val="single" w:sz="4" w:space="0" w:color="auto"/>
              <w:left w:val="nil"/>
              <w:bottom w:val="nil"/>
              <w:right w:val="nil"/>
            </w:tcBorders>
            <w:vAlign w:val="center"/>
          </w:tcPr>
          <w:p w14:paraId="6AB39FC8" w14:textId="77777777" w:rsidR="008941BF" w:rsidRPr="00876024" w:rsidRDefault="008941BF" w:rsidP="00FA2F40">
            <w:pPr>
              <w:jc w:val="center"/>
              <w:rPr>
                <w:sz w:val="20"/>
                <w:szCs w:val="20"/>
                <w:vertAlign w:val="superscript"/>
              </w:rPr>
            </w:pPr>
            <w:r w:rsidRPr="00876024">
              <w:rPr>
                <w:sz w:val="20"/>
                <w:szCs w:val="20"/>
                <w:vertAlign w:val="superscript"/>
              </w:rPr>
              <w:t>(наименование организации)</w:t>
            </w:r>
          </w:p>
        </w:tc>
      </w:tr>
      <w:tr w:rsidR="008941BF" w14:paraId="1B7D3052" w14:textId="77777777" w:rsidTr="00FA2F40">
        <w:trPr>
          <w:trHeight w:val="402"/>
        </w:trPr>
        <w:tc>
          <w:tcPr>
            <w:tcW w:w="2267" w:type="dxa"/>
            <w:gridSpan w:val="4"/>
            <w:tcBorders>
              <w:top w:val="nil"/>
              <w:left w:val="nil"/>
              <w:bottom w:val="single" w:sz="4" w:space="0" w:color="auto"/>
              <w:right w:val="nil"/>
            </w:tcBorders>
            <w:vAlign w:val="center"/>
          </w:tcPr>
          <w:p w14:paraId="5C4D17E4" w14:textId="77777777" w:rsidR="008941BF" w:rsidRDefault="008941BF" w:rsidP="00FA2F40">
            <w:pPr>
              <w:jc w:val="center"/>
            </w:pPr>
          </w:p>
        </w:tc>
        <w:tc>
          <w:tcPr>
            <w:tcW w:w="284" w:type="dxa"/>
            <w:tcBorders>
              <w:top w:val="nil"/>
              <w:left w:val="nil"/>
              <w:bottom w:val="nil"/>
              <w:right w:val="nil"/>
            </w:tcBorders>
            <w:vAlign w:val="bottom"/>
          </w:tcPr>
          <w:p w14:paraId="149A5F12" w14:textId="77777777" w:rsidR="008941BF" w:rsidRDefault="008941BF" w:rsidP="00FA2F40">
            <w:pPr>
              <w:jc w:val="center"/>
            </w:pPr>
            <w:r>
              <w:t>/</w:t>
            </w:r>
          </w:p>
        </w:tc>
        <w:tc>
          <w:tcPr>
            <w:tcW w:w="2069" w:type="dxa"/>
            <w:gridSpan w:val="6"/>
            <w:tcBorders>
              <w:top w:val="nil"/>
              <w:left w:val="nil"/>
              <w:bottom w:val="single" w:sz="4" w:space="0" w:color="auto"/>
              <w:right w:val="nil"/>
            </w:tcBorders>
            <w:vAlign w:val="bottom"/>
          </w:tcPr>
          <w:p w14:paraId="013DF5D5" w14:textId="77777777" w:rsidR="008941BF" w:rsidRPr="00876024" w:rsidRDefault="008941BF" w:rsidP="00FA2F40">
            <w:pPr>
              <w:jc w:val="center"/>
            </w:pPr>
            <w:r>
              <w:t>М.В. Новиков</w:t>
            </w:r>
          </w:p>
        </w:tc>
        <w:tc>
          <w:tcPr>
            <w:tcW w:w="236" w:type="dxa"/>
            <w:gridSpan w:val="2"/>
            <w:tcBorders>
              <w:top w:val="nil"/>
              <w:left w:val="nil"/>
              <w:bottom w:val="nil"/>
              <w:right w:val="nil"/>
            </w:tcBorders>
            <w:vAlign w:val="bottom"/>
          </w:tcPr>
          <w:p w14:paraId="410C9A03" w14:textId="77777777" w:rsidR="008941BF" w:rsidRDefault="008941BF" w:rsidP="00FA2F40">
            <w:pPr>
              <w:jc w:val="center"/>
            </w:pPr>
            <w:r>
              <w:t>/</w:t>
            </w:r>
          </w:p>
        </w:tc>
      </w:tr>
      <w:tr w:rsidR="008941BF" w14:paraId="4E8B7FC8" w14:textId="77777777" w:rsidTr="00FA2F40">
        <w:trPr>
          <w:trHeight w:val="115"/>
        </w:trPr>
        <w:tc>
          <w:tcPr>
            <w:tcW w:w="2267" w:type="dxa"/>
            <w:gridSpan w:val="4"/>
            <w:tcBorders>
              <w:top w:val="single" w:sz="4" w:space="0" w:color="auto"/>
              <w:left w:val="nil"/>
              <w:bottom w:val="nil"/>
              <w:right w:val="nil"/>
            </w:tcBorders>
            <w:vAlign w:val="center"/>
          </w:tcPr>
          <w:p w14:paraId="2CB386D1" w14:textId="77777777" w:rsidR="008941BF" w:rsidRPr="00876024" w:rsidRDefault="008941BF" w:rsidP="00FA2F40">
            <w:pPr>
              <w:jc w:val="center"/>
              <w:rPr>
                <w:sz w:val="20"/>
                <w:szCs w:val="20"/>
                <w:vertAlign w:val="superscript"/>
              </w:rPr>
            </w:pPr>
            <w:r w:rsidRPr="00876024">
              <w:rPr>
                <w:sz w:val="20"/>
                <w:szCs w:val="20"/>
                <w:vertAlign w:val="superscript"/>
              </w:rPr>
              <w:t>(подпись)</w:t>
            </w:r>
          </w:p>
        </w:tc>
        <w:tc>
          <w:tcPr>
            <w:tcW w:w="284" w:type="dxa"/>
            <w:tcBorders>
              <w:top w:val="nil"/>
              <w:left w:val="nil"/>
              <w:bottom w:val="nil"/>
              <w:right w:val="nil"/>
            </w:tcBorders>
            <w:vAlign w:val="center"/>
          </w:tcPr>
          <w:p w14:paraId="7E47CF45" w14:textId="77777777" w:rsidR="008941BF" w:rsidRPr="00E77E85" w:rsidRDefault="008941BF" w:rsidP="00FA2F40">
            <w:pPr>
              <w:jc w:val="center"/>
              <w:rPr>
                <w:vertAlign w:val="superscript"/>
              </w:rPr>
            </w:pPr>
          </w:p>
        </w:tc>
        <w:tc>
          <w:tcPr>
            <w:tcW w:w="2069" w:type="dxa"/>
            <w:gridSpan w:val="6"/>
            <w:tcBorders>
              <w:top w:val="nil"/>
              <w:left w:val="nil"/>
              <w:bottom w:val="nil"/>
              <w:right w:val="nil"/>
            </w:tcBorders>
            <w:vAlign w:val="center"/>
          </w:tcPr>
          <w:p w14:paraId="23E797FC" w14:textId="77777777" w:rsidR="008941BF" w:rsidRPr="00876024" w:rsidRDefault="008941BF" w:rsidP="00FA2F40">
            <w:pPr>
              <w:jc w:val="center"/>
              <w:rPr>
                <w:sz w:val="20"/>
                <w:szCs w:val="20"/>
                <w:vertAlign w:val="superscript"/>
              </w:rPr>
            </w:pPr>
            <w:r w:rsidRPr="00876024">
              <w:rPr>
                <w:sz w:val="20"/>
                <w:szCs w:val="20"/>
                <w:vertAlign w:val="superscript"/>
              </w:rPr>
              <w:t>(И.О. Фамилия)</w:t>
            </w:r>
          </w:p>
        </w:tc>
        <w:tc>
          <w:tcPr>
            <w:tcW w:w="236" w:type="dxa"/>
            <w:gridSpan w:val="2"/>
            <w:tcBorders>
              <w:top w:val="nil"/>
              <w:left w:val="nil"/>
              <w:bottom w:val="nil"/>
              <w:right w:val="nil"/>
            </w:tcBorders>
            <w:vAlign w:val="center"/>
          </w:tcPr>
          <w:p w14:paraId="06BE533A" w14:textId="77777777" w:rsidR="008941BF" w:rsidRDefault="008941BF" w:rsidP="00FA2F40">
            <w:pPr>
              <w:jc w:val="center"/>
            </w:pPr>
          </w:p>
        </w:tc>
      </w:tr>
      <w:tr w:rsidR="008941BF" w:rsidRPr="00D3498F" w14:paraId="1ED7599F" w14:textId="77777777" w:rsidTr="00FA2F40">
        <w:trPr>
          <w:gridAfter w:val="4"/>
          <w:wAfter w:w="824" w:type="dxa"/>
          <w:trHeight w:val="273"/>
        </w:trPr>
        <w:tc>
          <w:tcPr>
            <w:tcW w:w="283" w:type="dxa"/>
            <w:tcBorders>
              <w:top w:val="nil"/>
              <w:left w:val="nil"/>
              <w:bottom w:val="nil"/>
              <w:right w:val="nil"/>
            </w:tcBorders>
            <w:vAlign w:val="bottom"/>
          </w:tcPr>
          <w:p w14:paraId="58B1FFD6" w14:textId="77777777" w:rsidR="008941BF" w:rsidRPr="00DA20FC" w:rsidRDefault="008941BF" w:rsidP="00FA2F40">
            <w:pPr>
              <w:ind w:right="-102"/>
              <w:jc w:val="center"/>
            </w:pPr>
            <w:r w:rsidRPr="00720D84">
              <w:t>«</w:t>
            </w:r>
          </w:p>
        </w:tc>
        <w:tc>
          <w:tcPr>
            <w:tcW w:w="569" w:type="dxa"/>
            <w:tcBorders>
              <w:top w:val="nil"/>
              <w:left w:val="nil"/>
              <w:bottom w:val="single" w:sz="4" w:space="0" w:color="auto"/>
              <w:right w:val="nil"/>
            </w:tcBorders>
            <w:vAlign w:val="bottom"/>
          </w:tcPr>
          <w:p w14:paraId="3FB088F6" w14:textId="77777777" w:rsidR="008941BF" w:rsidRPr="00876024" w:rsidRDefault="008941BF" w:rsidP="00FA2F40">
            <w:pPr>
              <w:jc w:val="center"/>
            </w:pPr>
          </w:p>
        </w:tc>
        <w:tc>
          <w:tcPr>
            <w:tcW w:w="283" w:type="dxa"/>
            <w:tcBorders>
              <w:top w:val="nil"/>
              <w:left w:val="nil"/>
              <w:bottom w:val="nil"/>
              <w:right w:val="nil"/>
            </w:tcBorders>
            <w:vAlign w:val="bottom"/>
          </w:tcPr>
          <w:p w14:paraId="7283257F" w14:textId="77777777" w:rsidR="008941BF" w:rsidRPr="00876024" w:rsidRDefault="008941BF" w:rsidP="00FA2F40">
            <w:pPr>
              <w:ind w:left="-102"/>
              <w:jc w:val="center"/>
            </w:pPr>
            <w:r w:rsidRPr="00876024">
              <w:t>»</w:t>
            </w:r>
          </w:p>
        </w:tc>
        <w:tc>
          <w:tcPr>
            <w:tcW w:w="1843" w:type="dxa"/>
            <w:gridSpan w:val="3"/>
            <w:tcBorders>
              <w:top w:val="nil"/>
              <w:left w:val="nil"/>
              <w:bottom w:val="single" w:sz="4" w:space="0" w:color="auto"/>
              <w:right w:val="nil"/>
            </w:tcBorders>
            <w:vAlign w:val="bottom"/>
          </w:tcPr>
          <w:p w14:paraId="2C427B10" w14:textId="77777777" w:rsidR="008941BF" w:rsidRPr="00876024" w:rsidRDefault="008941BF" w:rsidP="00FA2F40">
            <w:pPr>
              <w:jc w:val="center"/>
            </w:pPr>
          </w:p>
        </w:tc>
        <w:tc>
          <w:tcPr>
            <w:tcW w:w="283" w:type="dxa"/>
            <w:tcBorders>
              <w:top w:val="nil"/>
              <w:left w:val="nil"/>
              <w:bottom w:val="nil"/>
              <w:right w:val="nil"/>
            </w:tcBorders>
            <w:vAlign w:val="bottom"/>
          </w:tcPr>
          <w:p w14:paraId="0D77ED75" w14:textId="77777777" w:rsidR="008941BF" w:rsidRPr="00876024" w:rsidRDefault="008941BF" w:rsidP="00FA2F40">
            <w:pPr>
              <w:ind w:left="-108" w:right="-108"/>
              <w:jc w:val="center"/>
            </w:pPr>
            <w:r w:rsidRPr="00876024">
              <w:t>20</w:t>
            </w:r>
          </w:p>
        </w:tc>
        <w:tc>
          <w:tcPr>
            <w:tcW w:w="426" w:type="dxa"/>
            <w:tcBorders>
              <w:top w:val="nil"/>
              <w:left w:val="nil"/>
              <w:bottom w:val="single" w:sz="4" w:space="0" w:color="auto"/>
              <w:right w:val="nil"/>
            </w:tcBorders>
            <w:vAlign w:val="bottom"/>
          </w:tcPr>
          <w:p w14:paraId="4CDD5069" w14:textId="77777777" w:rsidR="008941BF" w:rsidRPr="00876024" w:rsidRDefault="008941BF" w:rsidP="00FA2F40">
            <w:pPr>
              <w:ind w:left="-108" w:right="-108"/>
            </w:pPr>
            <w:r w:rsidRPr="00876024">
              <w:t>19</w:t>
            </w:r>
          </w:p>
        </w:tc>
        <w:tc>
          <w:tcPr>
            <w:tcW w:w="345" w:type="dxa"/>
            <w:tcBorders>
              <w:top w:val="nil"/>
              <w:left w:val="nil"/>
              <w:bottom w:val="nil"/>
              <w:right w:val="nil"/>
            </w:tcBorders>
            <w:vAlign w:val="center"/>
          </w:tcPr>
          <w:p w14:paraId="61629ABE" w14:textId="77777777" w:rsidR="008941BF" w:rsidRPr="00D3498F" w:rsidRDefault="008941BF" w:rsidP="00FA2F40">
            <w:pPr>
              <w:ind w:left="-108"/>
            </w:pPr>
            <w:r>
              <w:t>г.</w:t>
            </w:r>
          </w:p>
        </w:tc>
      </w:tr>
    </w:tbl>
    <w:p w14:paraId="4695E022" w14:textId="77777777" w:rsidR="008941BF" w:rsidRDefault="008941BF" w:rsidP="008941BF">
      <w:pPr>
        <w:pStyle w:val="ac"/>
        <w:spacing w:before="0" w:beforeAutospacing="0" w:after="0" w:afterAutospacing="0"/>
        <w:jc w:val="center"/>
        <w:rPr>
          <w:b/>
        </w:rPr>
      </w:pPr>
    </w:p>
    <w:p w14:paraId="3E78F25A" w14:textId="77777777" w:rsidR="00C60564" w:rsidRDefault="009573A6" w:rsidP="00C60564">
      <w:pPr>
        <w:pStyle w:val="ac"/>
        <w:spacing w:before="0" w:beforeAutospacing="0" w:after="0" w:afterAutospacing="0"/>
        <w:jc w:val="center"/>
        <w:rPr>
          <w:b/>
        </w:rPr>
      </w:pPr>
      <w:bookmarkStart w:id="4" w:name="_GoBack"/>
      <w:bookmarkEnd w:id="4"/>
      <w:r>
        <w:rPr>
          <w:b/>
        </w:rPr>
        <w:t>Часть II</w:t>
      </w:r>
      <w:r w:rsidR="00C60564" w:rsidRPr="0079641B">
        <w:rPr>
          <w:b/>
        </w:rPr>
        <w:t xml:space="preserve"> «Описание объекта закупки»</w:t>
      </w:r>
    </w:p>
    <w:p w14:paraId="40F63DC3" w14:textId="77777777"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425792" w14:paraId="75B6FCE4" w14:textId="77777777" w:rsidTr="003D4327">
        <w:trPr>
          <w:trHeight w:val="20"/>
        </w:trPr>
        <w:tc>
          <w:tcPr>
            <w:tcW w:w="534" w:type="dxa"/>
            <w:vAlign w:val="center"/>
          </w:tcPr>
          <w:p w14:paraId="41AC3E3A" w14:textId="77777777" w:rsidR="00BD4FDA" w:rsidRPr="00425792" w:rsidRDefault="00BD4FDA" w:rsidP="006B09F9">
            <w:pPr>
              <w:pStyle w:val="afff6"/>
              <w:spacing w:line="20" w:lineRule="atLeast"/>
              <w:rPr>
                <w:rFonts w:ascii="Times New Roman" w:hAnsi="Times New Roman"/>
              </w:rPr>
            </w:pPr>
            <w:r w:rsidRPr="00425792">
              <w:rPr>
                <w:rFonts w:ascii="Times New Roman" w:hAnsi="Times New Roman"/>
              </w:rPr>
              <w:t>№ п/п</w:t>
            </w:r>
          </w:p>
        </w:tc>
        <w:tc>
          <w:tcPr>
            <w:tcW w:w="4819" w:type="dxa"/>
            <w:vAlign w:val="center"/>
          </w:tcPr>
          <w:p w14:paraId="07DC0F7D" w14:textId="77777777"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14:paraId="204AEEC7" w14:textId="77777777"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14:paraId="7ED725F4" w14:textId="77777777" w:rsidTr="003D4327">
        <w:trPr>
          <w:trHeight w:val="407"/>
        </w:trPr>
        <w:tc>
          <w:tcPr>
            <w:tcW w:w="534" w:type="dxa"/>
            <w:tcMar>
              <w:left w:w="0" w:type="dxa"/>
              <w:right w:w="0" w:type="dxa"/>
            </w:tcMar>
            <w:vAlign w:val="center"/>
          </w:tcPr>
          <w:p w14:paraId="0810A44D" w14:textId="77777777"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14:paraId="017BDFFD" w14:textId="77777777"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14:paraId="084CA15D" w14:textId="77777777"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14:paraId="16F5D683" w14:textId="77777777" w:rsidTr="003D4327">
        <w:trPr>
          <w:trHeight w:val="389"/>
        </w:trPr>
        <w:tc>
          <w:tcPr>
            <w:tcW w:w="534" w:type="dxa"/>
            <w:tcMar>
              <w:left w:w="0" w:type="dxa"/>
              <w:right w:w="0" w:type="dxa"/>
            </w:tcMar>
            <w:vAlign w:val="center"/>
          </w:tcPr>
          <w:p w14:paraId="1ED7FDB0" w14:textId="77777777"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14:paraId="5F2C045B" w14:textId="77777777"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14:paraId="36AFF279" w14:textId="77777777"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14:paraId="0491D3C1" w14:textId="77777777"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332F29" w14:textId="77777777"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14:paraId="76A53459" w14:textId="77777777"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3AD62F4C" w14:textId="77777777"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14:paraId="45E13EEA" w14:textId="77777777"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14:paraId="6D377BB6" w14:textId="77777777"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14:paraId="0244FF8A" w14:textId="77777777"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755679" w14:textId="77777777"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14:paraId="5583451C" w14:textId="77777777"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27FF2541" w14:textId="77777777"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14:paraId="58453CC9" w14:textId="77777777"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0C0B34" w14:textId="77777777"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14:paraId="65169AF7" w14:textId="77777777"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2F43D4BE" w14:textId="77777777"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14:paraId="16613F96" w14:textId="77777777"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39DAF6" w14:textId="77777777"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14:paraId="0D91F772" w14:textId="77777777"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33CE8F6E" w14:textId="2178E3E3" w:rsidR="00732FA2" w:rsidRPr="00EC5931" w:rsidRDefault="000A2AC1" w:rsidP="00732FA2">
            <w:pPr>
              <w:pStyle w:val="afff6"/>
              <w:spacing w:line="20" w:lineRule="atLeast"/>
              <w:jc w:val="center"/>
              <w:rPr>
                <w:rFonts w:ascii="Times New Roman" w:hAnsi="Times New Roman"/>
              </w:rPr>
            </w:pPr>
            <w:r>
              <w:rPr>
                <w:rFonts w:ascii="Times New Roman" w:hAnsi="Times New Roman"/>
              </w:rPr>
              <w:t>280</w:t>
            </w:r>
          </w:p>
        </w:tc>
      </w:tr>
      <w:tr w:rsidR="00732FA2" w:rsidRPr="00425792" w14:paraId="12E3BEAD" w14:textId="77777777" w:rsidTr="003D4327">
        <w:trPr>
          <w:trHeight w:val="409"/>
        </w:trPr>
        <w:tc>
          <w:tcPr>
            <w:tcW w:w="534" w:type="dxa"/>
            <w:tcMar>
              <w:left w:w="0" w:type="dxa"/>
              <w:right w:w="0" w:type="dxa"/>
            </w:tcMar>
            <w:vAlign w:val="center"/>
          </w:tcPr>
          <w:p w14:paraId="2BD1220E" w14:textId="77777777"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14:paraId="11142E48" w14:textId="77777777"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14:paraId="4E4046AA" w14:textId="77777777"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14:paraId="605A53AE" w14:textId="7777777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14:paraId="4616C14C" w14:textId="77777777"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14:paraId="72026144" w14:textId="77777777" w:rsidR="003D4327" w:rsidRDefault="003D4327" w:rsidP="000C7224">
            <w:pPr>
              <w:spacing w:line="276" w:lineRule="auto"/>
              <w:rPr>
                <w:lang w:eastAsia="en-US"/>
              </w:rPr>
            </w:pPr>
            <w:r>
              <w:rPr>
                <w:sz w:val="22"/>
                <w:szCs w:val="22"/>
                <w:lang w:eastAsia="en-US"/>
              </w:rPr>
              <w:t>Да</w:t>
            </w:r>
          </w:p>
        </w:tc>
      </w:tr>
      <w:tr w:rsidR="003D4327" w14:paraId="3FF7640E" w14:textId="7777777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14:paraId="04491C4C" w14:textId="77777777" w:rsidR="003D4327" w:rsidRDefault="003D4327" w:rsidP="000C7224">
            <w:pPr>
              <w:spacing w:line="276" w:lineRule="auto"/>
              <w:rPr>
                <w:lang w:eastAsia="en-US"/>
              </w:rPr>
            </w:pPr>
            <w:r>
              <w:rPr>
                <w:sz w:val="22"/>
                <w:szCs w:val="22"/>
                <w:lang w:eastAsia="en-US"/>
              </w:rPr>
              <w:t>Наличие в лекарственном препарате наркотических средств, психотропных веществ и их прекурсоров:</w:t>
            </w:r>
          </w:p>
        </w:tc>
        <w:tc>
          <w:tcPr>
            <w:tcW w:w="436" w:type="dxa"/>
            <w:vAlign w:val="center"/>
            <w:hideMark/>
          </w:tcPr>
          <w:p w14:paraId="03CF3A2C" w14:textId="77777777" w:rsidR="003D4327" w:rsidRDefault="003D4327" w:rsidP="000C7224">
            <w:pPr>
              <w:spacing w:line="276" w:lineRule="auto"/>
              <w:rPr>
                <w:lang w:eastAsia="en-US"/>
              </w:rPr>
            </w:pPr>
            <w:r>
              <w:rPr>
                <w:sz w:val="22"/>
                <w:szCs w:val="22"/>
                <w:lang w:eastAsia="en-US"/>
              </w:rPr>
              <w:t>Нет</w:t>
            </w:r>
          </w:p>
        </w:tc>
      </w:tr>
    </w:tbl>
    <w:p w14:paraId="10C63E29" w14:textId="77777777" w:rsidR="00C91A2D" w:rsidRDefault="00C91A2D" w:rsidP="00C91A2D">
      <w:pPr>
        <w:pStyle w:val="afff6"/>
        <w:spacing w:line="20" w:lineRule="atLeast"/>
        <w:ind w:left="-426" w:right="-284" w:firstLine="142"/>
        <w:jc w:val="both"/>
        <w:rPr>
          <w:rFonts w:ascii="Times New Roman" w:hAnsi="Times New Roman"/>
        </w:rPr>
      </w:pPr>
    </w:p>
    <w:p w14:paraId="204B72E7" w14:textId="77777777"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14:paraId="0983D0C0" w14:textId="77777777" w:rsidR="006B5717" w:rsidRDefault="006B5717" w:rsidP="008C6E48">
      <w:pPr>
        <w:ind w:left="-426" w:right="-284"/>
        <w:jc w:val="both"/>
        <w:rPr>
          <w:rFonts w:eastAsia="Calibri"/>
          <w:sz w:val="22"/>
          <w:szCs w:val="22"/>
          <w:lang w:eastAsia="en-US"/>
        </w:rPr>
      </w:pPr>
    </w:p>
    <w:bookmarkEnd w:id="0"/>
    <w:bookmarkEnd w:id="1"/>
    <w:bookmarkEnd w:id="2"/>
    <w:bookmarkEnd w:id="3"/>
    <w:p w14:paraId="20EC1E82" w14:textId="77777777"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14:paraId="7F855120" w14:textId="77777777" w:rsidTr="00C91A2D">
        <w:trPr>
          <w:trHeight w:val="20"/>
        </w:trPr>
        <w:tc>
          <w:tcPr>
            <w:tcW w:w="993" w:type="dxa"/>
            <w:vAlign w:val="center"/>
          </w:tcPr>
          <w:p w14:paraId="1D5B2304" w14:textId="77777777"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14:paraId="4C5B165C" w14:textId="77777777"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14:paraId="5D75B351" w14:textId="77777777"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14:paraId="076D19D9" w14:textId="77777777"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14:paraId="5AE82F92" w14:textId="77777777" w:rsidTr="00C91A2D">
        <w:trPr>
          <w:trHeight w:val="58"/>
        </w:trPr>
        <w:tc>
          <w:tcPr>
            <w:tcW w:w="993" w:type="dxa"/>
            <w:vAlign w:val="center"/>
          </w:tcPr>
          <w:p w14:paraId="38863AC7" w14:textId="77777777" w:rsidR="00C91A2D" w:rsidRPr="005628A5" w:rsidRDefault="00C91A2D" w:rsidP="000C7224">
            <w:pPr>
              <w:jc w:val="center"/>
            </w:pPr>
            <w:r>
              <w:rPr>
                <w:sz w:val="22"/>
                <w:szCs w:val="22"/>
              </w:rPr>
              <w:t>4.</w:t>
            </w:r>
          </w:p>
        </w:tc>
        <w:tc>
          <w:tcPr>
            <w:tcW w:w="1701" w:type="dxa"/>
            <w:vAlign w:val="center"/>
          </w:tcPr>
          <w:p w14:paraId="1089AB67" w14:textId="77777777"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14:paraId="0C81505C" w14:textId="77777777"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14:paraId="57F486E7" w14:textId="77777777"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14:paraId="1875E436" w14:textId="77777777"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15:restartNumberingAfterBreak="0">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15:restartNumberingAfterBreak="0">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15:restartNumberingAfterBreak="0">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15:restartNumberingAfterBreak="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09A5"/>
    <w:rsid w:val="000527A8"/>
    <w:rsid w:val="00062740"/>
    <w:rsid w:val="00070266"/>
    <w:rsid w:val="00074CCB"/>
    <w:rsid w:val="00093116"/>
    <w:rsid w:val="000941F4"/>
    <w:rsid w:val="00095A80"/>
    <w:rsid w:val="000A2AC1"/>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941BF"/>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92F3"/>
  <w15:docId w15:val="{DEDFB7C5-4070-4FC2-80DE-A8F2839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uiPriority w:val="59"/>
    <w:rsid w:val="005111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8FBB-286E-4D78-A933-72706025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dubovik.a.a@outlook.com</cp:lastModifiedBy>
  <cp:revision>8</cp:revision>
  <cp:lastPrinted>2018-03-12T07:10:00Z</cp:lastPrinted>
  <dcterms:created xsi:type="dcterms:W3CDTF">2019-04-08T08:44:00Z</dcterms:created>
  <dcterms:modified xsi:type="dcterms:W3CDTF">2019-05-30T06:20:00Z</dcterms:modified>
</cp:coreProperties>
</file>