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D9" w:rsidRPr="00B57ED9" w:rsidRDefault="00B57ED9" w:rsidP="00B57ED9">
      <w:pPr>
        <w:shd w:val="clear" w:color="auto" w:fill="FFFFFF"/>
        <w:spacing w:line="288" w:lineRule="auto"/>
        <w:ind w:firstLine="6237"/>
        <w:jc w:val="right"/>
        <w:rPr>
          <w:rFonts w:ascii="Times New Roman" w:hAnsi="Times New Roman"/>
          <w:bCs/>
          <w:kern w:val="32"/>
          <w:sz w:val="24"/>
          <w:szCs w:val="24"/>
          <w:lang w:eastAsia="ru-RU"/>
        </w:rPr>
      </w:pPr>
      <w:r w:rsidRPr="00B57ED9">
        <w:rPr>
          <w:rFonts w:ascii="Times New Roman" w:hAnsi="Times New Roman"/>
          <w:bCs/>
          <w:kern w:val="32"/>
          <w:sz w:val="24"/>
          <w:szCs w:val="24"/>
          <w:lang w:eastAsia="ru-RU"/>
        </w:rPr>
        <w:t>УТВЕРЖДАЮ</w:t>
      </w:r>
    </w:p>
    <w:p w:rsidR="00B57ED9" w:rsidRDefault="00B57ED9" w:rsidP="00B57ED9">
      <w:pPr>
        <w:shd w:val="clear" w:color="auto" w:fill="FFFFFF"/>
        <w:spacing w:line="288" w:lineRule="auto"/>
        <w:rPr>
          <w:rFonts w:ascii="Times New Roman" w:hAnsi="Times New Roman"/>
          <w:bCs/>
          <w:kern w:val="32"/>
          <w:sz w:val="24"/>
          <w:szCs w:val="24"/>
          <w:lang w:eastAsia="ru-RU"/>
        </w:rPr>
      </w:pPr>
      <w:r>
        <w:rPr>
          <w:rFonts w:ascii="Times New Roman" w:hAnsi="Times New Roman"/>
          <w:bCs/>
          <w:kern w:val="32"/>
          <w:sz w:val="24"/>
          <w:szCs w:val="24"/>
          <w:lang w:eastAsia="ru-RU"/>
        </w:rPr>
        <w:t xml:space="preserve">                                                                                         </w:t>
      </w:r>
    </w:p>
    <w:p w:rsidR="00B57ED9" w:rsidRPr="00B57ED9" w:rsidRDefault="00B57ED9" w:rsidP="00B57ED9">
      <w:pPr>
        <w:shd w:val="clear" w:color="auto" w:fill="FFFFFF"/>
        <w:spacing w:line="288" w:lineRule="auto"/>
        <w:rPr>
          <w:rFonts w:ascii="Times New Roman" w:hAnsi="Times New Roman"/>
          <w:bCs/>
          <w:kern w:val="32"/>
          <w:sz w:val="24"/>
          <w:szCs w:val="24"/>
          <w:lang w:eastAsia="ru-RU"/>
        </w:rPr>
      </w:pPr>
      <w:r>
        <w:rPr>
          <w:rFonts w:ascii="Times New Roman" w:hAnsi="Times New Roman"/>
          <w:bCs/>
          <w:kern w:val="32"/>
          <w:sz w:val="24"/>
          <w:szCs w:val="24"/>
          <w:lang w:eastAsia="ru-RU"/>
        </w:rPr>
        <w:t xml:space="preserve">                                                                                          </w:t>
      </w:r>
      <w:r w:rsidRPr="00B57ED9">
        <w:rPr>
          <w:rFonts w:ascii="Times New Roman" w:hAnsi="Times New Roman"/>
          <w:bCs/>
          <w:kern w:val="32"/>
          <w:sz w:val="24"/>
          <w:szCs w:val="24"/>
          <w:lang w:eastAsia="ru-RU"/>
        </w:rPr>
        <w:t>Начальник ГКУСО «Автохозяйство</w:t>
      </w:r>
    </w:p>
    <w:p w:rsidR="00B57ED9" w:rsidRPr="00B57ED9" w:rsidRDefault="00B57ED9" w:rsidP="00B57ED9">
      <w:pPr>
        <w:shd w:val="clear" w:color="auto" w:fill="FFFFFF"/>
        <w:spacing w:line="288" w:lineRule="auto"/>
        <w:rPr>
          <w:rFonts w:ascii="Times New Roman" w:hAnsi="Times New Roman"/>
          <w:bCs/>
          <w:kern w:val="32"/>
          <w:sz w:val="24"/>
          <w:szCs w:val="24"/>
          <w:lang w:eastAsia="ru-RU"/>
        </w:rPr>
      </w:pPr>
      <w:r>
        <w:rPr>
          <w:rFonts w:ascii="Times New Roman" w:hAnsi="Times New Roman"/>
          <w:bCs/>
          <w:kern w:val="32"/>
          <w:sz w:val="24"/>
          <w:szCs w:val="24"/>
          <w:lang w:eastAsia="ru-RU"/>
        </w:rPr>
        <w:t xml:space="preserve">                                                                                         </w:t>
      </w:r>
      <w:r w:rsidRPr="00B57ED9">
        <w:rPr>
          <w:rFonts w:ascii="Times New Roman" w:hAnsi="Times New Roman"/>
          <w:bCs/>
          <w:kern w:val="32"/>
          <w:sz w:val="24"/>
          <w:szCs w:val="24"/>
          <w:lang w:eastAsia="ru-RU"/>
        </w:rPr>
        <w:t>Правительства Свердловской области»</w:t>
      </w:r>
    </w:p>
    <w:p w:rsidR="00B57ED9" w:rsidRPr="00B57ED9" w:rsidRDefault="00B57ED9" w:rsidP="00B57ED9">
      <w:pPr>
        <w:shd w:val="clear" w:color="auto" w:fill="FFFFFF"/>
        <w:spacing w:line="288" w:lineRule="auto"/>
        <w:ind w:firstLine="6237"/>
        <w:jc w:val="right"/>
        <w:rPr>
          <w:rFonts w:ascii="Times New Roman" w:hAnsi="Times New Roman"/>
          <w:bCs/>
          <w:kern w:val="32"/>
          <w:sz w:val="24"/>
          <w:szCs w:val="24"/>
          <w:lang w:eastAsia="ru-RU"/>
        </w:rPr>
      </w:pPr>
    </w:p>
    <w:p w:rsidR="00B57ED9" w:rsidRDefault="00B57ED9" w:rsidP="00B57ED9">
      <w:pPr>
        <w:jc w:val="right"/>
        <w:rPr>
          <w:rFonts w:ascii="Times New Roman" w:hAnsi="Times New Roman"/>
          <w:b/>
          <w:sz w:val="28"/>
          <w:szCs w:val="28"/>
        </w:rPr>
      </w:pPr>
      <w:r w:rsidRPr="00B57ED9">
        <w:rPr>
          <w:rFonts w:ascii="Times New Roman" w:hAnsi="Times New Roman"/>
          <w:bCs/>
          <w:kern w:val="32"/>
          <w:sz w:val="24"/>
          <w:szCs w:val="24"/>
          <w:lang w:eastAsia="ru-RU"/>
        </w:rPr>
        <w:t>___________________ И.В. Ростилов</w:t>
      </w:r>
    </w:p>
    <w:p w:rsidR="00B57ED9" w:rsidRDefault="00B57ED9" w:rsidP="002D1C41">
      <w:pPr>
        <w:jc w:val="center"/>
        <w:rPr>
          <w:rFonts w:ascii="Times New Roman" w:hAnsi="Times New Roman"/>
          <w:b/>
          <w:sz w:val="28"/>
          <w:szCs w:val="28"/>
        </w:rPr>
      </w:pPr>
    </w:p>
    <w:p w:rsidR="00876DA0" w:rsidRDefault="00A75DBC" w:rsidP="00B57ED9">
      <w:pPr>
        <w:jc w:val="center"/>
        <w:rPr>
          <w:rFonts w:ascii="Times New Roman" w:hAnsi="Times New Roman"/>
          <w:b/>
          <w:sz w:val="28"/>
          <w:szCs w:val="28"/>
        </w:rPr>
      </w:pPr>
      <w:r w:rsidRPr="00F17B4B">
        <w:rPr>
          <w:rFonts w:ascii="Times New Roman" w:hAnsi="Times New Roman"/>
          <w:b/>
          <w:sz w:val="28"/>
          <w:szCs w:val="28"/>
        </w:rPr>
        <w:t>Инструкция по заполнению заявки н</w:t>
      </w:r>
      <w:r w:rsidR="00B57ED9">
        <w:rPr>
          <w:rFonts w:ascii="Times New Roman" w:hAnsi="Times New Roman"/>
          <w:b/>
          <w:sz w:val="28"/>
          <w:szCs w:val="28"/>
        </w:rPr>
        <w:t>а участие в электронном аукционе</w:t>
      </w:r>
    </w:p>
    <w:p w:rsidR="00B57ED9" w:rsidRDefault="00B57ED9" w:rsidP="00876DA0">
      <w:pPr>
        <w:ind w:firstLine="709"/>
        <w:jc w:val="right"/>
        <w:rPr>
          <w:rFonts w:ascii="Times New Roman" w:hAnsi="Times New Roman"/>
          <w:sz w:val="24"/>
          <w:szCs w:val="24"/>
        </w:rPr>
      </w:pPr>
    </w:p>
    <w:p w:rsidR="00876DA0" w:rsidRPr="00876DA0" w:rsidRDefault="00876DA0" w:rsidP="00876DA0">
      <w:pPr>
        <w:ind w:firstLine="709"/>
        <w:jc w:val="right"/>
        <w:rPr>
          <w:rFonts w:ascii="Times New Roman" w:hAnsi="Times New Roman"/>
          <w:sz w:val="24"/>
          <w:szCs w:val="24"/>
        </w:rPr>
      </w:pPr>
      <w:r w:rsidRPr="00876DA0">
        <w:rPr>
          <w:rFonts w:ascii="Times New Roman" w:hAnsi="Times New Roman"/>
          <w:sz w:val="24"/>
          <w:szCs w:val="24"/>
        </w:rPr>
        <w:t xml:space="preserve">Приложение к аукционной документации </w:t>
      </w:r>
    </w:p>
    <w:p w:rsidR="00876DA0" w:rsidRPr="00F17B4B" w:rsidRDefault="00876DA0" w:rsidP="00876DA0">
      <w:pPr>
        <w:ind w:firstLine="709"/>
        <w:jc w:val="center"/>
        <w:rPr>
          <w:rFonts w:ascii="Times New Roman" w:hAnsi="Times New Roman"/>
          <w:b/>
          <w:sz w:val="28"/>
          <w:szCs w:val="28"/>
        </w:rPr>
      </w:pP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Участник аукциона вправе подать только одну заявку на участие в аукционе.</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 xml:space="preserve">Заявка на участие в аукционе, подготовленная участником закупки, а также вся корреспонденция и документация, связанные с заявкой на участие в аукционе, которыми обмениваются участник закупки, </w:t>
      </w:r>
      <w:r w:rsidR="00047CE5" w:rsidRPr="00F17B4B">
        <w:rPr>
          <w:rFonts w:ascii="Times New Roman" w:hAnsi="Times New Roman"/>
          <w:sz w:val="28"/>
          <w:szCs w:val="28"/>
        </w:rPr>
        <w:t xml:space="preserve">оператор электронной площадки, </w:t>
      </w:r>
      <w:r w:rsidRPr="00F17B4B">
        <w:rPr>
          <w:rFonts w:ascii="Times New Roman" w:hAnsi="Times New Roman"/>
          <w:sz w:val="28"/>
          <w:szCs w:val="28"/>
        </w:rPr>
        <w:t>уполномоченный орган и Заказчик должны быть составлены на русском языке.</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 установленным документацией об аукционе.</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Входящие в заявку на участие в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Заявка на участие в аукционе в электронной форме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r w:rsidR="005F789A" w:rsidRPr="00F17B4B">
        <w:rPr>
          <w:rFonts w:ascii="Times New Roman" w:hAnsi="Times New Roman"/>
          <w:sz w:val="28"/>
          <w:szCs w:val="28"/>
        </w:rPr>
        <w:t xml:space="preserve"> </w:t>
      </w:r>
    </w:p>
    <w:p w:rsidR="00C45DC1" w:rsidRPr="00F17B4B" w:rsidRDefault="00C45DC1" w:rsidP="00AC459E">
      <w:pPr>
        <w:ind w:firstLine="709"/>
        <w:rPr>
          <w:rFonts w:ascii="Times New Roman" w:hAnsi="Times New Roman"/>
          <w:sz w:val="28"/>
          <w:szCs w:val="28"/>
        </w:rPr>
      </w:pPr>
      <w:r w:rsidRPr="00F17B4B">
        <w:rPr>
          <w:rFonts w:ascii="Times New Roman" w:hAnsi="Times New Roman"/>
          <w:sz w:val="28"/>
          <w:szCs w:val="28"/>
        </w:rPr>
        <w:t>Перечень документов, предоставляемых в составе второй части заявке указан в п. 13.2 Части I «Общая часть»</w:t>
      </w:r>
      <w:r w:rsidR="00133AB1" w:rsidRPr="00F17B4B">
        <w:rPr>
          <w:rFonts w:ascii="Times New Roman" w:hAnsi="Times New Roman"/>
          <w:sz w:val="28"/>
          <w:szCs w:val="28"/>
        </w:rPr>
        <w:t xml:space="preserve"> документации об аукционе</w:t>
      </w:r>
      <w:r w:rsidRPr="00F17B4B">
        <w:rPr>
          <w:rFonts w:ascii="Times New Roman" w:hAnsi="Times New Roman"/>
          <w:sz w:val="28"/>
          <w:szCs w:val="28"/>
        </w:rPr>
        <w:t>.</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Заявка на участие в аукционе должна быть подписана электронной подписью участника аукциона или лица, имеющего право на осуществление действий от имени участника аукциона – юридического лица по участию в аукционах (в том числе на регистрацию на аукционах).</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 xml:space="preserve">В составе первой части заявки Участник закупки представляет характеристики </w:t>
      </w:r>
      <w:r w:rsidR="00C45DC1" w:rsidRPr="00F17B4B">
        <w:rPr>
          <w:rFonts w:ascii="Times New Roman" w:hAnsi="Times New Roman"/>
          <w:sz w:val="28"/>
          <w:szCs w:val="28"/>
        </w:rPr>
        <w:t>поставляемого товара</w:t>
      </w:r>
      <w:r w:rsidRPr="00F17B4B">
        <w:rPr>
          <w:rFonts w:ascii="Times New Roman" w:hAnsi="Times New Roman"/>
          <w:sz w:val="28"/>
          <w:szCs w:val="28"/>
        </w:rPr>
        <w:t xml:space="preserve">, предлагаемых к </w:t>
      </w:r>
      <w:r w:rsidR="00C45DC1" w:rsidRPr="00F17B4B">
        <w:rPr>
          <w:rFonts w:ascii="Times New Roman" w:hAnsi="Times New Roman"/>
          <w:sz w:val="28"/>
          <w:szCs w:val="28"/>
        </w:rPr>
        <w:t>поставке</w:t>
      </w:r>
      <w:r w:rsidRPr="00F17B4B">
        <w:rPr>
          <w:rFonts w:ascii="Times New Roman" w:hAnsi="Times New Roman"/>
          <w:sz w:val="28"/>
          <w:szCs w:val="28"/>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на все позиции, представленные в </w:t>
      </w:r>
      <w:r w:rsidR="0040424C" w:rsidRPr="00F17B4B">
        <w:rPr>
          <w:rFonts w:ascii="Times New Roman" w:hAnsi="Times New Roman"/>
          <w:sz w:val="28"/>
          <w:szCs w:val="28"/>
        </w:rPr>
        <w:t xml:space="preserve">приложении «Функциональные характеристики (потребительские свойства) поставляемых товаров (используемых материалов)» </w:t>
      </w:r>
      <w:r w:rsidR="00C45DC1" w:rsidRPr="00F17B4B">
        <w:rPr>
          <w:rFonts w:ascii="Times New Roman" w:hAnsi="Times New Roman"/>
          <w:sz w:val="28"/>
          <w:szCs w:val="28"/>
        </w:rPr>
        <w:t>Части II «Описание объекта закупки»</w:t>
      </w:r>
      <w:r w:rsidRPr="00F17B4B">
        <w:rPr>
          <w:rFonts w:ascii="Times New Roman" w:hAnsi="Times New Roman"/>
          <w:sz w:val="28"/>
          <w:szCs w:val="28"/>
        </w:rPr>
        <w:t>.</w:t>
      </w:r>
    </w:p>
    <w:p w:rsidR="003D7505" w:rsidRPr="00F17B4B" w:rsidRDefault="003D7505" w:rsidP="00AC459E">
      <w:pPr>
        <w:ind w:firstLine="709"/>
        <w:rPr>
          <w:rFonts w:ascii="Times New Roman" w:hAnsi="Times New Roman"/>
          <w:sz w:val="28"/>
          <w:szCs w:val="28"/>
        </w:rPr>
      </w:pPr>
      <w:r w:rsidRPr="00F17B4B">
        <w:rPr>
          <w:rFonts w:ascii="Times New Roman" w:hAnsi="Times New Roman"/>
          <w:sz w:val="28"/>
          <w:szCs w:val="28"/>
        </w:rPr>
        <w:lastRenderedPageBreak/>
        <w:t>Товарный знак указывается участником закупки в составе первой части заявки только при его наличии. 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в приложении «Функциональные характеристики (потребительские свойства) поставляемых товаров (используемых материалов)» Части II «Описание объекта закупки», товарный знак предприятия-изготовителя (юридического лица или индивидуального предпринимателя) является обязательной частью маркировки товара и участник закупки указывает в заявке о соответствии предлагаемого им товара требованиям указанных документов, разрабатываемых и применяемых в национальной системе стандартизации.</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40424C" w:rsidRPr="00F17B4B">
        <w:rPr>
          <w:rFonts w:ascii="Times New Roman" w:hAnsi="Times New Roman"/>
          <w:sz w:val="28"/>
          <w:szCs w:val="28"/>
        </w:rPr>
        <w:t xml:space="preserve">приложении «Функциональные характеристики (потребительские свойства) поставляемых товаров (используемых материалов)» </w:t>
      </w:r>
      <w:r w:rsidR="007B121D" w:rsidRPr="00F17B4B">
        <w:rPr>
          <w:rFonts w:ascii="Times New Roman" w:hAnsi="Times New Roman"/>
          <w:sz w:val="28"/>
          <w:szCs w:val="28"/>
        </w:rPr>
        <w:t>Части II «Описание объекта закупки»</w:t>
      </w:r>
      <w:r w:rsidRPr="00F17B4B">
        <w:rPr>
          <w:rFonts w:ascii="Times New Roman" w:hAnsi="Times New Roman"/>
          <w:sz w:val="28"/>
          <w:szCs w:val="28"/>
        </w:rPr>
        <w:t>.</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Изменение наименования товара и наименовани</w:t>
      </w:r>
      <w:r w:rsidR="00EE0B28" w:rsidRPr="00F17B4B">
        <w:rPr>
          <w:rFonts w:ascii="Times New Roman" w:hAnsi="Times New Roman"/>
          <w:sz w:val="28"/>
          <w:szCs w:val="28"/>
        </w:rPr>
        <w:t>я</w:t>
      </w:r>
      <w:r w:rsidRPr="00F17B4B">
        <w:rPr>
          <w:rFonts w:ascii="Times New Roman" w:hAnsi="Times New Roman"/>
          <w:sz w:val="28"/>
          <w:szCs w:val="28"/>
        </w:rPr>
        <w:t xml:space="preserve"> показателя не допускается.</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Сведения, которые включаются в заявку на участие в аукционе в электронной форме, не должны допускать двусмысленных толкований.</w:t>
      </w:r>
    </w:p>
    <w:p w:rsidR="005F1891" w:rsidRPr="00F17B4B" w:rsidRDefault="005F1891" w:rsidP="005F1891">
      <w:pPr>
        <w:ind w:firstLine="709"/>
        <w:rPr>
          <w:rFonts w:ascii="Times New Roman" w:hAnsi="Times New Roman"/>
          <w:sz w:val="28"/>
          <w:szCs w:val="28"/>
        </w:rPr>
      </w:pPr>
      <w:r w:rsidRPr="00F17B4B">
        <w:rPr>
          <w:rFonts w:ascii="Times New Roman" w:hAnsi="Times New Roman"/>
          <w:sz w:val="28"/>
          <w:szCs w:val="28"/>
        </w:rPr>
        <w:t>Все документы, входящие в состав заявки на участие в аукционе, должны иметь четко читаемый текст.</w:t>
      </w:r>
    </w:p>
    <w:p w:rsidR="0047325F" w:rsidRPr="00F17B4B" w:rsidRDefault="0047325F" w:rsidP="0047325F">
      <w:pPr>
        <w:ind w:firstLine="709"/>
        <w:rPr>
          <w:rFonts w:ascii="Times New Roman" w:hAnsi="Times New Roman"/>
          <w:sz w:val="28"/>
          <w:szCs w:val="28"/>
        </w:rPr>
      </w:pPr>
      <w:r w:rsidRPr="00F17B4B">
        <w:rPr>
          <w:rFonts w:ascii="Times New Roman" w:hAnsi="Times New Roman"/>
          <w:sz w:val="28"/>
          <w:szCs w:val="28"/>
        </w:rPr>
        <w:t xml:space="preserve">Предлагаемые участником закупки характеристики (потребительские свойства) товаров (материалов) по своим конкретным, диапазонным показателям должны соответствовать значениям, установленным НПБ, </w:t>
      </w:r>
      <w:r w:rsidR="00EE0B28" w:rsidRPr="00F17B4B">
        <w:rPr>
          <w:rFonts w:ascii="Times New Roman" w:hAnsi="Times New Roman"/>
          <w:sz w:val="28"/>
          <w:szCs w:val="28"/>
        </w:rPr>
        <w:t>ГОСТ, СаНПиН, СНиП, СП, ПУЭ, ГН</w:t>
      </w:r>
      <w:r w:rsidRPr="00F17B4B">
        <w:rPr>
          <w:rFonts w:ascii="Times New Roman" w:hAnsi="Times New Roman"/>
          <w:sz w:val="28"/>
          <w:szCs w:val="28"/>
        </w:rPr>
        <w:t xml:space="preserve"> (если это требование установлено </w:t>
      </w:r>
      <w:r w:rsidR="00C72317" w:rsidRPr="00F17B4B">
        <w:rPr>
          <w:rFonts w:ascii="Times New Roman" w:hAnsi="Times New Roman"/>
          <w:sz w:val="28"/>
          <w:szCs w:val="28"/>
        </w:rPr>
        <w:t>в приложении «Функциональные характеристики (потребительские свойства) поставляемых товаров (используемых материалов)»</w:t>
      </w:r>
      <w:r w:rsidRPr="00F17B4B">
        <w:rPr>
          <w:rFonts w:ascii="Times New Roman" w:hAnsi="Times New Roman"/>
          <w:sz w:val="28"/>
          <w:szCs w:val="28"/>
        </w:rPr>
        <w:t xml:space="preserve"> Части </w:t>
      </w:r>
      <w:r w:rsidRPr="00F17B4B">
        <w:rPr>
          <w:rFonts w:ascii="Times New Roman" w:hAnsi="Times New Roman"/>
          <w:sz w:val="28"/>
          <w:szCs w:val="28"/>
          <w:lang w:val="en-US"/>
        </w:rPr>
        <w:t>II</w:t>
      </w:r>
      <w:r w:rsidRPr="00F17B4B">
        <w:rPr>
          <w:rFonts w:ascii="Times New Roman" w:hAnsi="Times New Roman"/>
          <w:sz w:val="28"/>
          <w:szCs w:val="28"/>
        </w:rPr>
        <w:t xml:space="preserve"> «Описание объекта закупки») со всеми рекомендованными и иными приложениями к НПБ, ГОСТ, СаНПиН, СНиП, СП, ПУЭ, ГН, с учетом требований заказчика к качественным характеристикам (потребительским свойствам товара (материала), установленных </w:t>
      </w:r>
      <w:r w:rsidR="0040424C" w:rsidRPr="00F17B4B">
        <w:rPr>
          <w:rFonts w:ascii="Times New Roman" w:hAnsi="Times New Roman"/>
          <w:sz w:val="28"/>
          <w:szCs w:val="28"/>
        </w:rPr>
        <w:t>в приложении «Функциональные характеристики (потребительские свойства) поставляемых товаров (используемых материалов)»</w:t>
      </w:r>
      <w:r w:rsidRPr="00F17B4B">
        <w:rPr>
          <w:rFonts w:ascii="Times New Roman" w:hAnsi="Times New Roman"/>
          <w:sz w:val="28"/>
          <w:szCs w:val="28"/>
        </w:rPr>
        <w:t xml:space="preserve"> Части </w:t>
      </w:r>
      <w:r w:rsidRPr="00F17B4B">
        <w:rPr>
          <w:rFonts w:ascii="Times New Roman" w:hAnsi="Times New Roman"/>
          <w:sz w:val="28"/>
          <w:szCs w:val="28"/>
          <w:lang w:val="en-US"/>
        </w:rPr>
        <w:t>II</w:t>
      </w:r>
      <w:r w:rsidRPr="00F17B4B">
        <w:rPr>
          <w:rFonts w:ascii="Times New Roman" w:hAnsi="Times New Roman"/>
          <w:sz w:val="28"/>
          <w:szCs w:val="28"/>
        </w:rPr>
        <w:t xml:space="preserve"> «Описание объекта закупки». </w:t>
      </w:r>
    </w:p>
    <w:p w:rsidR="00AC459E" w:rsidRPr="00F17B4B" w:rsidRDefault="00AC459E" w:rsidP="00AC459E">
      <w:pPr>
        <w:ind w:firstLine="709"/>
        <w:rPr>
          <w:rFonts w:ascii="Times New Roman" w:hAnsi="Times New Roman"/>
          <w:sz w:val="28"/>
          <w:szCs w:val="28"/>
        </w:rPr>
      </w:pPr>
      <w:r w:rsidRPr="00F17B4B">
        <w:rPr>
          <w:rFonts w:ascii="Times New Roman" w:hAnsi="Times New Roman"/>
          <w:sz w:val="28"/>
          <w:szCs w:val="28"/>
        </w:rPr>
        <w:t>При заполнении сведений (значения показателя</w:t>
      </w:r>
      <w:r w:rsidR="00EE0B28" w:rsidRPr="00F17B4B">
        <w:rPr>
          <w:rFonts w:ascii="Times New Roman" w:hAnsi="Times New Roman"/>
          <w:sz w:val="28"/>
          <w:szCs w:val="28"/>
        </w:rPr>
        <w:t>,</w:t>
      </w:r>
      <w:r w:rsidRPr="00F17B4B">
        <w:rPr>
          <w:rFonts w:ascii="Times New Roman" w:hAnsi="Times New Roman"/>
          <w:sz w:val="28"/>
          <w:szCs w:val="28"/>
        </w:rPr>
        <w:t xml:space="preserve"> предложенного участником) не допускается указывать: «не более», «не менее», «не выше», «не ниже», «от», «до», «более», «менее», «выше», «ниже», «св.», «свыше», «должны соответствовать», «должно быть»,  за исключением случаев, когда значение показателя является диапазонным</w:t>
      </w:r>
      <w:r w:rsidR="005F1891" w:rsidRPr="00F17B4B">
        <w:rPr>
          <w:rFonts w:ascii="Times New Roman" w:hAnsi="Times New Roman"/>
          <w:sz w:val="28"/>
          <w:szCs w:val="28"/>
        </w:rPr>
        <w:t xml:space="preserve"> или является неизменным</w:t>
      </w:r>
      <w:r w:rsidRPr="00F17B4B">
        <w:rPr>
          <w:rFonts w:ascii="Times New Roman" w:hAnsi="Times New Roman"/>
          <w:sz w:val="28"/>
          <w:szCs w:val="28"/>
        </w:rPr>
        <w:t>.</w:t>
      </w:r>
    </w:p>
    <w:p w:rsidR="007B121D" w:rsidRDefault="007B121D" w:rsidP="00AC459E">
      <w:pPr>
        <w:ind w:firstLine="709"/>
        <w:rPr>
          <w:rFonts w:ascii="Times New Roman" w:hAnsi="Times New Roman"/>
          <w:sz w:val="28"/>
          <w:szCs w:val="28"/>
        </w:rPr>
      </w:pPr>
      <w:r w:rsidRPr="00F17B4B">
        <w:rPr>
          <w:rFonts w:ascii="Times New Roman" w:hAnsi="Times New Roman"/>
          <w:sz w:val="28"/>
          <w:szCs w:val="28"/>
        </w:rPr>
        <w:t>При описании характеристик поставляемых товаров (используемых материалов)</w:t>
      </w:r>
      <w:r w:rsidR="00270FD2" w:rsidRPr="00F17B4B">
        <w:rPr>
          <w:rFonts w:ascii="Times New Roman" w:hAnsi="Times New Roman"/>
          <w:sz w:val="28"/>
          <w:szCs w:val="28"/>
        </w:rPr>
        <w:t xml:space="preserve"> в столбце «</w:t>
      </w:r>
      <w:r w:rsidR="00270FD2" w:rsidRPr="00F17B4B">
        <w:rPr>
          <w:rFonts w:ascii="Times New Roman" w:eastAsia="Calibri" w:hAnsi="Times New Roman"/>
          <w:sz w:val="28"/>
          <w:szCs w:val="28"/>
        </w:rPr>
        <w:t xml:space="preserve">Содержание (значение) </w:t>
      </w:r>
      <w:r w:rsidR="006008C4">
        <w:rPr>
          <w:rFonts w:ascii="Times New Roman" w:eastAsia="Calibri" w:hAnsi="Times New Roman"/>
          <w:sz w:val="28"/>
          <w:szCs w:val="28"/>
        </w:rPr>
        <w:t>показателя</w:t>
      </w:r>
      <w:r w:rsidR="00270FD2" w:rsidRPr="00F17B4B">
        <w:rPr>
          <w:rFonts w:ascii="Times New Roman" w:eastAsia="Calibri" w:hAnsi="Times New Roman"/>
          <w:sz w:val="28"/>
          <w:szCs w:val="28"/>
        </w:rPr>
        <w:t>»</w:t>
      </w:r>
      <w:r w:rsidRPr="00F17B4B">
        <w:rPr>
          <w:rFonts w:ascii="Times New Roman" w:hAnsi="Times New Roman"/>
          <w:sz w:val="28"/>
          <w:szCs w:val="28"/>
        </w:rPr>
        <w:t xml:space="preserve"> заказчиком используются следующие определения:</w:t>
      </w:r>
    </w:p>
    <w:p w:rsidR="006008C4" w:rsidRPr="00F17B4B" w:rsidRDefault="006008C4" w:rsidP="00AC459E">
      <w:pPr>
        <w:ind w:firstLine="709"/>
        <w:rPr>
          <w:rFonts w:ascii="Times New Roman" w:hAnsi="Times New Roman"/>
          <w:sz w:val="28"/>
          <w:szCs w:val="28"/>
        </w:rPr>
      </w:pPr>
    </w:p>
    <w:tbl>
      <w:tblPr>
        <w:tblStyle w:val="a3"/>
        <w:tblW w:w="0" w:type="auto"/>
        <w:tblLook w:val="04A0" w:firstRow="1" w:lastRow="0" w:firstColumn="1" w:lastColumn="0" w:noHBand="0" w:noVBand="1"/>
      </w:tblPr>
      <w:tblGrid>
        <w:gridCol w:w="1792"/>
        <w:gridCol w:w="7553"/>
      </w:tblGrid>
      <w:tr w:rsidR="007B121D" w:rsidRPr="00F17B4B" w:rsidTr="00047CE5">
        <w:tc>
          <w:tcPr>
            <w:tcW w:w="1792" w:type="dxa"/>
          </w:tcPr>
          <w:p w:rsidR="007B121D" w:rsidRPr="00F17B4B" w:rsidRDefault="006008C4" w:rsidP="006008C4">
            <w:pPr>
              <w:rPr>
                <w:rFonts w:ascii="Times New Roman" w:hAnsi="Times New Roman"/>
                <w:sz w:val="28"/>
                <w:szCs w:val="28"/>
              </w:rPr>
            </w:pPr>
            <w:r w:rsidRPr="00F17B4B">
              <w:rPr>
                <w:rFonts w:ascii="Times New Roman" w:hAnsi="Times New Roman"/>
                <w:sz w:val="28"/>
                <w:szCs w:val="28"/>
              </w:rPr>
              <w:lastRenderedPageBreak/>
              <w:t xml:space="preserve"> </w:t>
            </w:r>
            <w:r w:rsidR="00C66758" w:rsidRPr="00F17B4B">
              <w:rPr>
                <w:rFonts w:ascii="Times New Roman" w:hAnsi="Times New Roman"/>
                <w:sz w:val="28"/>
                <w:szCs w:val="28"/>
              </w:rPr>
              <w:t xml:space="preserve">«не </w:t>
            </w:r>
            <w:r>
              <w:rPr>
                <w:rFonts w:ascii="Times New Roman" w:hAnsi="Times New Roman"/>
                <w:sz w:val="28"/>
                <w:szCs w:val="28"/>
              </w:rPr>
              <w:t>ниже</w:t>
            </w:r>
            <w:r w:rsidR="00055792" w:rsidRPr="00F17B4B">
              <w:rPr>
                <w:rFonts w:ascii="Times New Roman" w:hAnsi="Times New Roman"/>
                <w:sz w:val="28"/>
                <w:szCs w:val="28"/>
              </w:rPr>
              <w:t>»</w:t>
            </w:r>
          </w:p>
        </w:tc>
        <w:tc>
          <w:tcPr>
            <w:tcW w:w="7553" w:type="dxa"/>
          </w:tcPr>
          <w:p w:rsidR="007B121D" w:rsidRPr="00F17B4B" w:rsidRDefault="00065ACD" w:rsidP="00AC459E">
            <w:pPr>
              <w:rPr>
                <w:rFonts w:ascii="Times New Roman" w:hAnsi="Times New Roman"/>
                <w:sz w:val="28"/>
                <w:szCs w:val="28"/>
              </w:rPr>
            </w:pPr>
            <w:r w:rsidRPr="00F17B4B">
              <w:rPr>
                <w:rFonts w:ascii="Times New Roman" w:hAnsi="Times New Roman"/>
                <w:sz w:val="28"/>
                <w:szCs w:val="28"/>
              </w:rPr>
              <w:t>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D56916" w:rsidRPr="00876DA0" w:rsidTr="00047CE5">
        <w:tc>
          <w:tcPr>
            <w:tcW w:w="1792" w:type="dxa"/>
          </w:tcPr>
          <w:p w:rsidR="00D56916" w:rsidRPr="00876DA0" w:rsidRDefault="006008C4" w:rsidP="008C13BA">
            <w:pPr>
              <w:rPr>
                <w:rFonts w:ascii="Times New Roman" w:hAnsi="Times New Roman"/>
                <w:sz w:val="28"/>
                <w:szCs w:val="28"/>
              </w:rPr>
            </w:pPr>
            <w:r>
              <w:rPr>
                <w:rFonts w:ascii="Times New Roman" w:hAnsi="Times New Roman"/>
                <w:sz w:val="28"/>
                <w:szCs w:val="28"/>
              </w:rPr>
              <w:t>«&gt;»</w:t>
            </w:r>
          </w:p>
        </w:tc>
        <w:tc>
          <w:tcPr>
            <w:tcW w:w="7553" w:type="dxa"/>
          </w:tcPr>
          <w:p w:rsidR="00D56916" w:rsidRPr="00876DA0" w:rsidRDefault="00D56916" w:rsidP="008C13BA">
            <w:pPr>
              <w:rPr>
                <w:rFonts w:ascii="Times New Roman" w:hAnsi="Times New Roman"/>
                <w:sz w:val="28"/>
                <w:szCs w:val="28"/>
              </w:rPr>
            </w:pPr>
            <w:r w:rsidRPr="00876DA0">
              <w:rPr>
                <w:rFonts w:ascii="Times New Roman" w:hAnsi="Times New Roman"/>
                <w:sz w:val="28"/>
                <w:szCs w:val="28"/>
              </w:rPr>
              <w:t>означает, что минимальным значением данного показателя является значение больше указанного, не включая самого указанного значения.</w:t>
            </w:r>
          </w:p>
          <w:p w:rsidR="00D56916" w:rsidRPr="00876DA0" w:rsidRDefault="00D56916" w:rsidP="008C13BA">
            <w:pPr>
              <w:rPr>
                <w:rFonts w:ascii="Times New Roman" w:hAnsi="Times New Roman"/>
                <w:sz w:val="28"/>
                <w:szCs w:val="28"/>
              </w:rPr>
            </w:pPr>
          </w:p>
        </w:tc>
      </w:tr>
      <w:tr w:rsidR="00D56916" w:rsidRPr="00876DA0" w:rsidTr="00047CE5">
        <w:tc>
          <w:tcPr>
            <w:tcW w:w="1792" w:type="dxa"/>
          </w:tcPr>
          <w:p w:rsidR="00D56916" w:rsidRPr="00876DA0" w:rsidRDefault="006008C4" w:rsidP="008C13BA">
            <w:pPr>
              <w:rPr>
                <w:rFonts w:ascii="Times New Roman" w:hAnsi="Times New Roman"/>
                <w:sz w:val="28"/>
                <w:szCs w:val="28"/>
              </w:rPr>
            </w:pPr>
            <w:r>
              <w:rPr>
                <w:rFonts w:ascii="Times New Roman" w:hAnsi="Times New Roman"/>
                <w:sz w:val="28"/>
                <w:szCs w:val="28"/>
              </w:rPr>
              <w:t>«&lt;»</w:t>
            </w:r>
          </w:p>
        </w:tc>
        <w:tc>
          <w:tcPr>
            <w:tcW w:w="7553" w:type="dxa"/>
          </w:tcPr>
          <w:p w:rsidR="00D56916" w:rsidRPr="00876DA0" w:rsidRDefault="00D56916" w:rsidP="008C13BA">
            <w:pPr>
              <w:rPr>
                <w:rFonts w:ascii="Times New Roman" w:hAnsi="Times New Roman"/>
                <w:sz w:val="28"/>
                <w:szCs w:val="28"/>
              </w:rPr>
            </w:pPr>
            <w:r w:rsidRPr="00876DA0">
              <w:rPr>
                <w:rFonts w:ascii="Times New Roman" w:hAnsi="Times New Roman"/>
                <w:sz w:val="28"/>
                <w:szCs w:val="28"/>
              </w:rPr>
              <w:t>означает, что максимальным значением данного показателя является значение меньше указанного, не включая самого указанного значения.</w:t>
            </w:r>
          </w:p>
          <w:p w:rsidR="00D56916" w:rsidRPr="00876DA0" w:rsidRDefault="00D56916" w:rsidP="008C13BA">
            <w:pPr>
              <w:rPr>
                <w:rFonts w:ascii="Times New Roman" w:hAnsi="Times New Roman"/>
                <w:sz w:val="28"/>
                <w:szCs w:val="28"/>
              </w:rPr>
            </w:pPr>
          </w:p>
        </w:tc>
      </w:tr>
      <w:tr w:rsidR="00D56916" w:rsidRPr="00876DA0" w:rsidTr="00047CE5">
        <w:tc>
          <w:tcPr>
            <w:tcW w:w="1792" w:type="dxa"/>
          </w:tcPr>
          <w:p w:rsidR="00D56916" w:rsidRPr="00876DA0" w:rsidRDefault="006008C4" w:rsidP="008C13BA">
            <w:pPr>
              <w:rPr>
                <w:rFonts w:ascii="Times New Roman" w:hAnsi="Times New Roman"/>
                <w:sz w:val="28"/>
                <w:szCs w:val="28"/>
              </w:rPr>
            </w:pPr>
            <w:r>
              <w:rPr>
                <w:rFonts w:ascii="Times New Roman" w:hAnsi="Times New Roman"/>
                <w:sz w:val="28"/>
                <w:szCs w:val="28"/>
              </w:rPr>
              <w:t>«≥»</w:t>
            </w:r>
          </w:p>
        </w:tc>
        <w:tc>
          <w:tcPr>
            <w:tcW w:w="7553" w:type="dxa"/>
          </w:tcPr>
          <w:p w:rsidR="00D56916" w:rsidRPr="00876DA0" w:rsidRDefault="00D56916" w:rsidP="008C13BA">
            <w:pPr>
              <w:rPr>
                <w:rFonts w:ascii="Times New Roman" w:hAnsi="Times New Roman"/>
                <w:sz w:val="28"/>
                <w:szCs w:val="28"/>
              </w:rPr>
            </w:pPr>
            <w:r w:rsidRPr="00876DA0">
              <w:rPr>
                <w:rFonts w:ascii="Times New Roman" w:hAnsi="Times New Roman"/>
                <w:sz w:val="28"/>
                <w:szCs w:val="28"/>
              </w:rPr>
              <w:t>означает, что 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D56916" w:rsidRPr="00876DA0" w:rsidTr="00047CE5">
        <w:tc>
          <w:tcPr>
            <w:tcW w:w="1792" w:type="dxa"/>
          </w:tcPr>
          <w:p w:rsidR="00D56916" w:rsidRPr="00876DA0" w:rsidRDefault="006008C4" w:rsidP="008C13BA">
            <w:pPr>
              <w:rPr>
                <w:rFonts w:ascii="Times New Roman" w:hAnsi="Times New Roman"/>
                <w:sz w:val="28"/>
                <w:szCs w:val="28"/>
              </w:rPr>
            </w:pPr>
            <w:r>
              <w:rPr>
                <w:rFonts w:ascii="Times New Roman" w:hAnsi="Times New Roman"/>
                <w:sz w:val="28"/>
                <w:szCs w:val="28"/>
              </w:rPr>
              <w:t>«≤»</w:t>
            </w:r>
          </w:p>
        </w:tc>
        <w:tc>
          <w:tcPr>
            <w:tcW w:w="7553" w:type="dxa"/>
          </w:tcPr>
          <w:p w:rsidR="00D56916" w:rsidRPr="00876DA0" w:rsidRDefault="00D56916" w:rsidP="008C13BA">
            <w:pPr>
              <w:rPr>
                <w:rFonts w:ascii="Times New Roman" w:hAnsi="Times New Roman"/>
                <w:sz w:val="28"/>
                <w:szCs w:val="28"/>
              </w:rPr>
            </w:pPr>
            <w:r w:rsidRPr="00876DA0">
              <w:rPr>
                <w:rFonts w:ascii="Times New Roman" w:hAnsi="Times New Roman"/>
                <w:sz w:val="28"/>
                <w:szCs w:val="28"/>
              </w:rPr>
              <w:t>означает, что 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bl>
    <w:p w:rsidR="006008C4" w:rsidRDefault="006008C4" w:rsidP="00270FD2">
      <w:pPr>
        <w:ind w:firstLine="709"/>
        <w:rPr>
          <w:rFonts w:ascii="Times New Roman" w:hAnsi="Times New Roman"/>
          <w:sz w:val="28"/>
          <w:szCs w:val="28"/>
        </w:rPr>
      </w:pPr>
    </w:p>
    <w:p w:rsidR="00270FD2" w:rsidRDefault="00270FD2" w:rsidP="00270FD2">
      <w:pPr>
        <w:ind w:firstLine="709"/>
        <w:rPr>
          <w:rFonts w:ascii="Times New Roman" w:hAnsi="Times New Roman"/>
          <w:sz w:val="28"/>
          <w:szCs w:val="28"/>
        </w:rPr>
      </w:pPr>
      <w:r w:rsidRPr="00F17B4B">
        <w:rPr>
          <w:rFonts w:ascii="Times New Roman" w:hAnsi="Times New Roman"/>
          <w:sz w:val="28"/>
          <w:szCs w:val="28"/>
        </w:rPr>
        <w:t>При описании характеристик поставляемых товаров  в столбце «</w:t>
      </w:r>
      <w:r w:rsidRPr="00F17B4B">
        <w:rPr>
          <w:rFonts w:ascii="Times New Roman" w:eastAsia="Calibri" w:hAnsi="Times New Roman"/>
          <w:bCs/>
          <w:sz w:val="28"/>
          <w:szCs w:val="28"/>
        </w:rPr>
        <w:t>Инструкция участнику закупки по формированию предложения</w:t>
      </w:r>
      <w:r w:rsidRPr="00F17B4B">
        <w:rPr>
          <w:rFonts w:ascii="Times New Roman" w:eastAsia="Calibri" w:hAnsi="Times New Roman"/>
          <w:sz w:val="28"/>
          <w:szCs w:val="28"/>
        </w:rPr>
        <w:t>»</w:t>
      </w:r>
      <w:r w:rsidRPr="00F17B4B">
        <w:rPr>
          <w:rFonts w:ascii="Times New Roman" w:hAnsi="Times New Roman"/>
          <w:sz w:val="28"/>
          <w:szCs w:val="28"/>
        </w:rPr>
        <w:t xml:space="preserve"> заказчиком используются следующие определения:</w:t>
      </w:r>
    </w:p>
    <w:p w:rsidR="006008C4" w:rsidRPr="00F17B4B" w:rsidRDefault="006008C4" w:rsidP="00270FD2">
      <w:pPr>
        <w:ind w:firstLine="709"/>
        <w:rPr>
          <w:rFonts w:ascii="Times New Roman" w:hAnsi="Times New Roman"/>
          <w:sz w:val="28"/>
          <w:szCs w:val="28"/>
        </w:rPr>
      </w:pPr>
    </w:p>
    <w:tbl>
      <w:tblPr>
        <w:tblStyle w:val="a3"/>
        <w:tblW w:w="0" w:type="auto"/>
        <w:tblLook w:val="04A0" w:firstRow="1" w:lastRow="0" w:firstColumn="1" w:lastColumn="0" w:noHBand="0" w:noVBand="1"/>
      </w:tblPr>
      <w:tblGrid>
        <w:gridCol w:w="4665"/>
        <w:gridCol w:w="4680"/>
      </w:tblGrid>
      <w:tr w:rsidR="00270FD2" w:rsidRPr="00F17B4B" w:rsidTr="006008C4">
        <w:tc>
          <w:tcPr>
            <w:tcW w:w="4665" w:type="dxa"/>
          </w:tcPr>
          <w:p w:rsidR="00270FD2" w:rsidRPr="00F17B4B" w:rsidRDefault="00270FD2" w:rsidP="00B600B7">
            <w:pPr>
              <w:rPr>
                <w:rFonts w:ascii="Times New Roman" w:hAnsi="Times New Roman"/>
                <w:sz w:val="28"/>
                <w:szCs w:val="28"/>
              </w:rPr>
            </w:pPr>
            <w:r w:rsidRPr="00F17B4B">
              <w:rPr>
                <w:rFonts w:ascii="Times New Roman" w:hAnsi="Times New Roman"/>
                <w:sz w:val="28"/>
                <w:szCs w:val="28"/>
              </w:rPr>
              <w:t>Указывается конкретное значение</w:t>
            </w:r>
          </w:p>
        </w:tc>
        <w:tc>
          <w:tcPr>
            <w:tcW w:w="4680" w:type="dxa"/>
          </w:tcPr>
          <w:p w:rsidR="00270FD2" w:rsidRPr="00F17B4B" w:rsidRDefault="00270FD2" w:rsidP="00270FD2">
            <w:pPr>
              <w:rPr>
                <w:rFonts w:ascii="Times New Roman" w:hAnsi="Times New Roman"/>
                <w:sz w:val="28"/>
                <w:szCs w:val="28"/>
              </w:rPr>
            </w:pPr>
            <w:r w:rsidRPr="00F17B4B">
              <w:rPr>
                <w:rFonts w:ascii="Times New Roman" w:hAnsi="Times New Roman"/>
                <w:sz w:val="28"/>
                <w:szCs w:val="28"/>
              </w:rPr>
              <w:t>Означает, что участник закупки должен предложить только одно конкретное значение показателя в столбце «Содержание (значение) характеристики»</w:t>
            </w:r>
          </w:p>
        </w:tc>
      </w:tr>
      <w:tr w:rsidR="000A07EF" w:rsidRPr="00F17B4B" w:rsidTr="000A07EF">
        <w:tc>
          <w:tcPr>
            <w:tcW w:w="4665" w:type="dxa"/>
          </w:tcPr>
          <w:p w:rsidR="000A07EF" w:rsidRPr="00F17B4B" w:rsidRDefault="000A07EF" w:rsidP="000A07EF">
            <w:pPr>
              <w:rPr>
                <w:rFonts w:ascii="Times New Roman" w:hAnsi="Times New Roman"/>
                <w:sz w:val="28"/>
                <w:szCs w:val="28"/>
              </w:rPr>
            </w:pPr>
            <w:r>
              <w:rPr>
                <w:rFonts w:ascii="Times New Roman" w:hAnsi="Times New Roman"/>
                <w:sz w:val="28"/>
                <w:szCs w:val="28"/>
              </w:rPr>
              <w:t>Соответствие</w:t>
            </w:r>
          </w:p>
        </w:tc>
        <w:tc>
          <w:tcPr>
            <w:tcW w:w="4680" w:type="dxa"/>
          </w:tcPr>
          <w:p w:rsidR="000A07EF" w:rsidRPr="00F17B4B" w:rsidRDefault="000A07EF" w:rsidP="00C335EE">
            <w:pPr>
              <w:rPr>
                <w:rFonts w:ascii="Times New Roman" w:hAnsi="Times New Roman"/>
                <w:sz w:val="28"/>
                <w:szCs w:val="28"/>
              </w:rPr>
            </w:pPr>
            <w:r w:rsidRPr="00F17B4B">
              <w:rPr>
                <w:rFonts w:ascii="Times New Roman" w:hAnsi="Times New Roman"/>
                <w:sz w:val="28"/>
                <w:szCs w:val="28"/>
              </w:rPr>
              <w:t xml:space="preserve">Означает, что участник закупки вправе предложить только товары (материалы) с установленными в строке характеристиками, внесение изменений (корректировок) в соответствующую строку может привести к отклонению участника закупки </w:t>
            </w:r>
          </w:p>
        </w:tc>
      </w:tr>
    </w:tbl>
    <w:p w:rsidR="003F373A" w:rsidRPr="00F17B4B" w:rsidRDefault="003F373A" w:rsidP="00B600B7">
      <w:pPr>
        <w:ind w:firstLine="709"/>
        <w:rPr>
          <w:rFonts w:ascii="Times New Roman" w:hAnsi="Times New Roman"/>
          <w:sz w:val="28"/>
          <w:szCs w:val="28"/>
        </w:rPr>
      </w:pPr>
      <w:bookmarkStart w:id="0" w:name="_GoBack"/>
      <w:bookmarkEnd w:id="0"/>
    </w:p>
    <w:p w:rsidR="00DA6102" w:rsidRPr="00F17B4B" w:rsidRDefault="00B600B7" w:rsidP="00B600B7">
      <w:pPr>
        <w:ind w:firstLine="709"/>
        <w:rPr>
          <w:rFonts w:ascii="Times New Roman" w:hAnsi="Times New Roman"/>
          <w:sz w:val="28"/>
          <w:szCs w:val="28"/>
        </w:rPr>
        <w:sectPr w:rsidR="00DA6102" w:rsidRPr="00F17B4B" w:rsidSect="00AC459E">
          <w:pgSz w:w="11906" w:h="16838"/>
          <w:pgMar w:top="1134" w:right="850" w:bottom="1134" w:left="1701" w:header="708" w:footer="708" w:gutter="0"/>
          <w:cols w:space="708"/>
          <w:docGrid w:linePitch="360"/>
        </w:sectPr>
      </w:pPr>
      <w:r w:rsidRPr="00F17B4B">
        <w:rPr>
          <w:rFonts w:ascii="Times New Roman" w:hAnsi="Times New Roman"/>
          <w:sz w:val="28"/>
          <w:szCs w:val="28"/>
        </w:rPr>
        <w:t xml:space="preserve">Участник закупки вправе предоставить сведения </w:t>
      </w:r>
      <w:r w:rsidR="003F373A" w:rsidRPr="00F17B4B">
        <w:rPr>
          <w:rFonts w:ascii="Times New Roman" w:hAnsi="Times New Roman"/>
          <w:sz w:val="28"/>
          <w:szCs w:val="28"/>
        </w:rPr>
        <w:t>о поставляемых товарах (используемых материалах)</w:t>
      </w:r>
      <w:r w:rsidRPr="00F17B4B">
        <w:rPr>
          <w:rFonts w:ascii="Times New Roman" w:hAnsi="Times New Roman"/>
          <w:sz w:val="28"/>
          <w:szCs w:val="28"/>
        </w:rPr>
        <w:t xml:space="preserve"> </w:t>
      </w:r>
      <w:r w:rsidR="002348D8">
        <w:rPr>
          <w:rFonts w:ascii="Times New Roman" w:hAnsi="Times New Roman"/>
          <w:sz w:val="28"/>
          <w:szCs w:val="28"/>
        </w:rPr>
        <w:t xml:space="preserve">по </w:t>
      </w:r>
      <w:r w:rsidRPr="00F17B4B">
        <w:rPr>
          <w:rFonts w:ascii="Times New Roman" w:hAnsi="Times New Roman"/>
          <w:sz w:val="28"/>
          <w:szCs w:val="28"/>
        </w:rPr>
        <w:t>Форме 1 либо в произвольной форме.</w:t>
      </w:r>
    </w:p>
    <w:p w:rsidR="00EC5A5D" w:rsidRPr="00EC5A5D" w:rsidRDefault="00EC5A5D" w:rsidP="00EC5A5D">
      <w:pPr>
        <w:jc w:val="right"/>
        <w:rPr>
          <w:rFonts w:ascii="Times New Roman" w:hAnsi="Times New Roman"/>
          <w:b/>
          <w:bCs/>
          <w:sz w:val="24"/>
          <w:szCs w:val="24"/>
        </w:rPr>
      </w:pPr>
      <w:r w:rsidRPr="00EC5A5D">
        <w:rPr>
          <w:rFonts w:ascii="Times New Roman" w:hAnsi="Times New Roman"/>
          <w:b/>
          <w:bCs/>
          <w:sz w:val="24"/>
          <w:szCs w:val="24"/>
        </w:rPr>
        <w:lastRenderedPageBreak/>
        <w:t>Образец</w:t>
      </w:r>
    </w:p>
    <w:p w:rsidR="00EC5A5D" w:rsidRPr="00EC5A5D" w:rsidRDefault="00EC5A5D" w:rsidP="00EC5A5D">
      <w:pPr>
        <w:jc w:val="right"/>
        <w:rPr>
          <w:rFonts w:ascii="Times New Roman" w:hAnsi="Times New Roman"/>
          <w:b/>
          <w:bCs/>
          <w:sz w:val="24"/>
          <w:szCs w:val="24"/>
        </w:rPr>
      </w:pPr>
      <w:r w:rsidRPr="00EC5A5D">
        <w:rPr>
          <w:rFonts w:ascii="Times New Roman" w:hAnsi="Times New Roman"/>
          <w:b/>
          <w:bCs/>
          <w:sz w:val="24"/>
          <w:szCs w:val="24"/>
        </w:rPr>
        <w:t>Форма 1</w:t>
      </w:r>
    </w:p>
    <w:p w:rsidR="00EC5A5D" w:rsidRPr="00EC5A5D" w:rsidRDefault="00EC5A5D" w:rsidP="00EC5A5D">
      <w:pPr>
        <w:jc w:val="center"/>
        <w:rPr>
          <w:rFonts w:ascii="Times New Roman" w:hAnsi="Times New Roman"/>
          <w:sz w:val="24"/>
          <w:szCs w:val="24"/>
        </w:rPr>
      </w:pPr>
      <w:r w:rsidRPr="00EC5A5D">
        <w:rPr>
          <w:rFonts w:ascii="Times New Roman" w:hAnsi="Times New Roman"/>
          <w:sz w:val="24"/>
          <w:szCs w:val="24"/>
        </w:rPr>
        <w:t>Первая часть заявки</w:t>
      </w:r>
    </w:p>
    <w:p w:rsidR="00EC5A5D" w:rsidRPr="00EC5A5D" w:rsidRDefault="00EC5A5D" w:rsidP="00EC5A5D">
      <w:pPr>
        <w:tabs>
          <w:tab w:val="left" w:pos="851"/>
        </w:tabs>
        <w:ind w:firstLine="426"/>
        <w:rPr>
          <w:rFonts w:ascii="Times New Roman" w:hAnsi="Times New Roman"/>
          <w:sz w:val="24"/>
          <w:szCs w:val="24"/>
        </w:rPr>
      </w:pPr>
      <w:r w:rsidRPr="00EC5A5D">
        <w:rPr>
          <w:rFonts w:ascii="Times New Roman" w:hAnsi="Times New Roman"/>
          <w:sz w:val="24"/>
          <w:szCs w:val="24"/>
        </w:rPr>
        <w:t xml:space="preserve">Изучив документацию об электронном аукционе (извещение № __________), выражаем согласие на поставку товара, выполнение работ, оказание услуг в соответствии с требованиями и условиями документации об электронном аукционе: </w:t>
      </w:r>
    </w:p>
    <w:p w:rsidR="00EC5A5D" w:rsidRPr="00EC5A5D" w:rsidRDefault="00EC5A5D" w:rsidP="00EC5A5D">
      <w:pPr>
        <w:autoSpaceDE w:val="0"/>
        <w:autoSpaceDN w:val="0"/>
        <w:jc w:val="center"/>
        <w:rPr>
          <w:rFonts w:ascii="Times New Roman" w:hAnsi="Times New Roman"/>
          <w:sz w:val="24"/>
          <w:szCs w:val="24"/>
        </w:rPr>
      </w:pPr>
      <w:r w:rsidRPr="00EC5A5D">
        <w:rPr>
          <w:rFonts w:ascii="Times New Roman" w:hAnsi="Times New Roman"/>
          <w:sz w:val="24"/>
          <w:szCs w:val="24"/>
        </w:rPr>
        <w:t xml:space="preserve">Сведения о качестве, технических и функциональных характеристиках (потребительских свойствах), поставляемых товаров (используемых материалов) </w:t>
      </w:r>
    </w:p>
    <w:p w:rsidR="00EC5A5D" w:rsidRPr="00EC5A5D" w:rsidRDefault="00EC5A5D" w:rsidP="00EC5A5D">
      <w:pPr>
        <w:autoSpaceDE w:val="0"/>
        <w:autoSpaceDN w:val="0"/>
        <w:jc w:val="right"/>
        <w:rPr>
          <w:rFonts w:ascii="Times New Roman" w:hAnsi="Times New Roman"/>
          <w:b/>
          <w:sz w:val="24"/>
          <w:szCs w:val="24"/>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13"/>
        <w:gridCol w:w="3119"/>
        <w:gridCol w:w="3373"/>
        <w:gridCol w:w="3402"/>
        <w:gridCol w:w="2977"/>
      </w:tblGrid>
      <w:tr w:rsidR="00EC5A5D" w:rsidRPr="00EC5A5D" w:rsidTr="009A3941">
        <w:trPr>
          <w:trHeight w:val="408"/>
        </w:trPr>
        <w:tc>
          <w:tcPr>
            <w:tcW w:w="15565" w:type="dxa"/>
            <w:gridSpan w:val="6"/>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hAnsi="Times New Roman"/>
                <w:sz w:val="24"/>
                <w:szCs w:val="24"/>
              </w:rPr>
              <w:t>Функциональные характеристики (потребительские свойства) поставляемых товаров (используемых материалов)</w:t>
            </w:r>
          </w:p>
        </w:tc>
      </w:tr>
      <w:tr w:rsidR="00EC5A5D" w:rsidRPr="00EC5A5D" w:rsidTr="009A3941">
        <w:trPr>
          <w:trHeight w:val="408"/>
        </w:trPr>
        <w:tc>
          <w:tcPr>
            <w:tcW w:w="681" w:type="dxa"/>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w:t>
            </w:r>
          </w:p>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п/п</w:t>
            </w:r>
          </w:p>
        </w:tc>
        <w:tc>
          <w:tcPr>
            <w:tcW w:w="2013" w:type="dxa"/>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Наименование товара</w:t>
            </w:r>
          </w:p>
        </w:tc>
        <w:tc>
          <w:tcPr>
            <w:tcW w:w="3119" w:type="dxa"/>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Наименование характеристики</w:t>
            </w:r>
          </w:p>
        </w:tc>
        <w:tc>
          <w:tcPr>
            <w:tcW w:w="3373" w:type="dxa"/>
            <w:vAlign w:val="center"/>
          </w:tcPr>
          <w:p w:rsidR="00EC5A5D" w:rsidRPr="00EC5A5D" w:rsidRDefault="00EC5A5D" w:rsidP="009A3941">
            <w:pPr>
              <w:jc w:val="center"/>
              <w:rPr>
                <w:rFonts w:ascii="Times New Roman" w:eastAsia="Calibri" w:hAnsi="Times New Roman"/>
                <w:bCs/>
                <w:sz w:val="24"/>
                <w:szCs w:val="24"/>
              </w:rPr>
            </w:pPr>
            <w:r w:rsidRPr="00EC5A5D">
              <w:rPr>
                <w:rFonts w:ascii="Times New Roman" w:eastAsia="Calibri" w:hAnsi="Times New Roman"/>
                <w:bCs/>
                <w:sz w:val="24"/>
                <w:szCs w:val="24"/>
              </w:rPr>
              <w:t>Содержание (значение) характеристики</w:t>
            </w:r>
          </w:p>
        </w:tc>
        <w:tc>
          <w:tcPr>
            <w:tcW w:w="3402" w:type="dxa"/>
            <w:vAlign w:val="center"/>
          </w:tcPr>
          <w:p w:rsidR="00EC5A5D" w:rsidRPr="00EC5A5D" w:rsidRDefault="00EC5A5D" w:rsidP="009A3941">
            <w:pPr>
              <w:jc w:val="center"/>
              <w:rPr>
                <w:rFonts w:ascii="Times New Roman" w:eastAsia="Calibri" w:hAnsi="Times New Roman"/>
                <w:bCs/>
                <w:sz w:val="24"/>
                <w:szCs w:val="24"/>
              </w:rPr>
            </w:pPr>
            <w:r w:rsidRPr="00EC5A5D">
              <w:rPr>
                <w:rFonts w:ascii="Times New Roman" w:eastAsia="Calibri" w:hAnsi="Times New Roman"/>
                <w:bCs/>
                <w:sz w:val="24"/>
                <w:szCs w:val="24"/>
              </w:rPr>
              <w:t>Ссылка на нормативный документ, на основании которого предоставляются сведения</w:t>
            </w:r>
          </w:p>
        </w:tc>
        <w:tc>
          <w:tcPr>
            <w:tcW w:w="2977" w:type="dxa"/>
            <w:vAlign w:val="center"/>
          </w:tcPr>
          <w:p w:rsidR="00EC5A5D" w:rsidRPr="00EC5A5D" w:rsidRDefault="00EC5A5D" w:rsidP="009A3941">
            <w:pPr>
              <w:jc w:val="center"/>
              <w:rPr>
                <w:rFonts w:ascii="Times New Roman" w:eastAsia="Calibri" w:hAnsi="Times New Roman"/>
                <w:bCs/>
                <w:sz w:val="24"/>
                <w:szCs w:val="24"/>
              </w:rPr>
            </w:pPr>
            <w:r w:rsidRPr="00EC5A5D">
              <w:rPr>
                <w:rFonts w:ascii="Times New Roman" w:eastAsia="Calibri" w:hAnsi="Times New Roman"/>
                <w:bCs/>
                <w:sz w:val="24"/>
                <w:szCs w:val="24"/>
              </w:rPr>
              <w:t>Страна происхождения</w:t>
            </w:r>
          </w:p>
        </w:tc>
      </w:tr>
      <w:tr w:rsidR="00EC5A5D" w:rsidRPr="00EC5A5D" w:rsidTr="009A3941">
        <w:trPr>
          <w:trHeight w:val="408"/>
        </w:trPr>
        <w:tc>
          <w:tcPr>
            <w:tcW w:w="681" w:type="dxa"/>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1</w:t>
            </w:r>
          </w:p>
        </w:tc>
        <w:tc>
          <w:tcPr>
            <w:tcW w:w="2013" w:type="dxa"/>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2</w:t>
            </w:r>
          </w:p>
        </w:tc>
        <w:tc>
          <w:tcPr>
            <w:tcW w:w="3119" w:type="dxa"/>
            <w:vAlign w:val="center"/>
          </w:tcPr>
          <w:p w:rsidR="00EC5A5D" w:rsidRPr="00EC5A5D" w:rsidRDefault="00EC5A5D" w:rsidP="009A3941">
            <w:pPr>
              <w:autoSpaceDE w:val="0"/>
              <w:autoSpaceDN w:val="0"/>
              <w:adjustRightInd w:val="0"/>
              <w:jc w:val="center"/>
              <w:rPr>
                <w:rFonts w:ascii="Times New Roman" w:eastAsia="Calibri" w:hAnsi="Times New Roman"/>
                <w:bCs/>
                <w:sz w:val="24"/>
                <w:szCs w:val="24"/>
              </w:rPr>
            </w:pPr>
            <w:r w:rsidRPr="00EC5A5D">
              <w:rPr>
                <w:rFonts w:ascii="Times New Roman" w:eastAsia="Calibri" w:hAnsi="Times New Roman"/>
                <w:bCs/>
                <w:sz w:val="24"/>
                <w:szCs w:val="24"/>
              </w:rPr>
              <w:t>3</w:t>
            </w:r>
          </w:p>
        </w:tc>
        <w:tc>
          <w:tcPr>
            <w:tcW w:w="3373" w:type="dxa"/>
            <w:vAlign w:val="center"/>
          </w:tcPr>
          <w:p w:rsidR="00EC5A5D" w:rsidRPr="00EC5A5D" w:rsidRDefault="00EC5A5D" w:rsidP="009A3941">
            <w:pPr>
              <w:jc w:val="center"/>
              <w:rPr>
                <w:rFonts w:ascii="Times New Roman" w:eastAsia="Calibri" w:hAnsi="Times New Roman"/>
                <w:bCs/>
                <w:sz w:val="24"/>
                <w:szCs w:val="24"/>
              </w:rPr>
            </w:pPr>
            <w:r w:rsidRPr="00EC5A5D">
              <w:rPr>
                <w:rFonts w:ascii="Times New Roman" w:eastAsia="Calibri" w:hAnsi="Times New Roman"/>
                <w:bCs/>
                <w:sz w:val="24"/>
                <w:szCs w:val="24"/>
              </w:rPr>
              <w:t>4</w:t>
            </w:r>
          </w:p>
        </w:tc>
        <w:tc>
          <w:tcPr>
            <w:tcW w:w="3402" w:type="dxa"/>
            <w:vAlign w:val="center"/>
          </w:tcPr>
          <w:p w:rsidR="00EC5A5D" w:rsidRPr="00EC5A5D" w:rsidRDefault="00EC5A5D" w:rsidP="009A3941">
            <w:pPr>
              <w:jc w:val="center"/>
              <w:rPr>
                <w:rFonts w:ascii="Times New Roman" w:eastAsia="Calibri" w:hAnsi="Times New Roman"/>
                <w:bCs/>
                <w:sz w:val="24"/>
                <w:szCs w:val="24"/>
              </w:rPr>
            </w:pPr>
            <w:r w:rsidRPr="00EC5A5D">
              <w:rPr>
                <w:rFonts w:ascii="Times New Roman" w:eastAsia="Calibri" w:hAnsi="Times New Roman"/>
                <w:bCs/>
                <w:sz w:val="24"/>
                <w:szCs w:val="24"/>
              </w:rPr>
              <w:t>5</w:t>
            </w:r>
          </w:p>
        </w:tc>
        <w:tc>
          <w:tcPr>
            <w:tcW w:w="2977" w:type="dxa"/>
            <w:vAlign w:val="center"/>
          </w:tcPr>
          <w:p w:rsidR="00EC5A5D" w:rsidRPr="00EC5A5D" w:rsidRDefault="00EC5A5D" w:rsidP="009A3941">
            <w:pPr>
              <w:jc w:val="center"/>
              <w:rPr>
                <w:rFonts w:ascii="Times New Roman" w:eastAsia="Calibri" w:hAnsi="Times New Roman"/>
                <w:bCs/>
                <w:sz w:val="24"/>
                <w:szCs w:val="24"/>
              </w:rPr>
            </w:pPr>
            <w:r w:rsidRPr="00EC5A5D">
              <w:rPr>
                <w:rFonts w:ascii="Times New Roman" w:eastAsia="Calibri" w:hAnsi="Times New Roman"/>
                <w:bCs/>
                <w:sz w:val="24"/>
                <w:szCs w:val="24"/>
              </w:rPr>
              <w:t>6</w:t>
            </w:r>
          </w:p>
        </w:tc>
      </w:tr>
      <w:tr w:rsidR="00EC5A5D" w:rsidRPr="00EC5A5D" w:rsidTr="009A3941">
        <w:trPr>
          <w:trHeight w:val="20"/>
        </w:trPr>
        <w:tc>
          <w:tcPr>
            <w:tcW w:w="681" w:type="dxa"/>
            <w:vMerge w:val="restart"/>
          </w:tcPr>
          <w:p w:rsidR="00EC5A5D" w:rsidRPr="00EC5A5D" w:rsidRDefault="00EC5A5D" w:rsidP="009A3941">
            <w:pPr>
              <w:autoSpaceDE w:val="0"/>
              <w:autoSpaceDN w:val="0"/>
              <w:adjustRightInd w:val="0"/>
              <w:jc w:val="center"/>
              <w:rPr>
                <w:rFonts w:ascii="Times New Roman" w:eastAsia="Calibri" w:hAnsi="Times New Roman"/>
                <w:sz w:val="24"/>
                <w:szCs w:val="24"/>
              </w:rPr>
            </w:pPr>
            <w:r w:rsidRPr="00EC5A5D">
              <w:rPr>
                <w:rFonts w:ascii="Times New Roman" w:eastAsia="Calibri" w:hAnsi="Times New Roman"/>
                <w:sz w:val="24"/>
                <w:szCs w:val="24"/>
              </w:rPr>
              <w:t>1</w:t>
            </w:r>
          </w:p>
        </w:tc>
        <w:tc>
          <w:tcPr>
            <w:tcW w:w="2013" w:type="dxa"/>
            <w:vMerge w:val="restart"/>
          </w:tcPr>
          <w:p w:rsidR="00EC5A5D" w:rsidRPr="00EC5A5D" w:rsidRDefault="00EC5A5D" w:rsidP="009A3941">
            <w:pPr>
              <w:autoSpaceDE w:val="0"/>
              <w:autoSpaceDN w:val="0"/>
              <w:adjustRightInd w:val="0"/>
              <w:jc w:val="center"/>
              <w:rPr>
                <w:rFonts w:ascii="Times New Roman" w:eastAsia="Calibri" w:hAnsi="Times New Roman"/>
                <w:bCs/>
                <w:sz w:val="24"/>
                <w:szCs w:val="24"/>
              </w:rPr>
            </w:pPr>
          </w:p>
        </w:tc>
        <w:tc>
          <w:tcPr>
            <w:tcW w:w="3119" w:type="dxa"/>
          </w:tcPr>
          <w:p w:rsidR="00EC5A5D" w:rsidRPr="00EC5A5D" w:rsidRDefault="00EC5A5D" w:rsidP="009A3941">
            <w:pPr>
              <w:pStyle w:val="ConsPlusNormal"/>
              <w:rPr>
                <w:rFonts w:eastAsia="Calibri"/>
                <w:bCs/>
              </w:rPr>
            </w:pPr>
          </w:p>
        </w:tc>
        <w:tc>
          <w:tcPr>
            <w:tcW w:w="3373" w:type="dxa"/>
          </w:tcPr>
          <w:p w:rsidR="00EC5A5D" w:rsidRPr="00EC5A5D" w:rsidRDefault="00EC5A5D" w:rsidP="009A3941">
            <w:pPr>
              <w:pStyle w:val="ConsPlusNormal"/>
            </w:pPr>
          </w:p>
        </w:tc>
        <w:tc>
          <w:tcPr>
            <w:tcW w:w="3402" w:type="dxa"/>
            <w:vAlign w:val="center"/>
          </w:tcPr>
          <w:p w:rsidR="00EC5A5D" w:rsidRPr="00EC5A5D" w:rsidRDefault="00EC5A5D" w:rsidP="009A3941">
            <w:pPr>
              <w:pStyle w:val="ConsPlusNormal"/>
            </w:pPr>
          </w:p>
        </w:tc>
        <w:tc>
          <w:tcPr>
            <w:tcW w:w="2977" w:type="dxa"/>
            <w:vMerge w:val="restart"/>
          </w:tcPr>
          <w:p w:rsidR="00EC5A5D" w:rsidRPr="00EC5A5D" w:rsidRDefault="00EC5A5D" w:rsidP="009A3941">
            <w:pPr>
              <w:pStyle w:val="ConsPlusNormal"/>
              <w:jc w:val="center"/>
              <w:rPr>
                <w:i/>
              </w:rPr>
            </w:pPr>
          </w:p>
        </w:tc>
      </w:tr>
      <w:tr w:rsidR="00EC5A5D" w:rsidRPr="00EC5A5D" w:rsidTr="009A3941">
        <w:trPr>
          <w:trHeight w:val="20"/>
        </w:trPr>
        <w:tc>
          <w:tcPr>
            <w:tcW w:w="681"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2013" w:type="dxa"/>
            <w:vMerge/>
          </w:tcPr>
          <w:p w:rsidR="00EC5A5D" w:rsidRPr="00EC5A5D" w:rsidRDefault="00EC5A5D" w:rsidP="009A3941">
            <w:pPr>
              <w:autoSpaceDE w:val="0"/>
              <w:autoSpaceDN w:val="0"/>
              <w:adjustRightInd w:val="0"/>
              <w:jc w:val="center"/>
              <w:rPr>
                <w:rFonts w:ascii="Times New Roman" w:eastAsia="Calibri" w:hAnsi="Times New Roman"/>
                <w:bCs/>
                <w:sz w:val="24"/>
                <w:szCs w:val="24"/>
              </w:rPr>
            </w:pPr>
          </w:p>
        </w:tc>
        <w:tc>
          <w:tcPr>
            <w:tcW w:w="3119" w:type="dxa"/>
          </w:tcPr>
          <w:p w:rsidR="00EC5A5D" w:rsidRPr="00EC5A5D" w:rsidRDefault="00EC5A5D" w:rsidP="009A3941">
            <w:pPr>
              <w:autoSpaceDE w:val="0"/>
              <w:autoSpaceDN w:val="0"/>
              <w:adjustRightInd w:val="0"/>
              <w:rPr>
                <w:rFonts w:ascii="Times New Roman" w:eastAsia="Calibri" w:hAnsi="Times New Roman"/>
                <w:bCs/>
                <w:sz w:val="24"/>
                <w:szCs w:val="24"/>
              </w:rPr>
            </w:pPr>
          </w:p>
        </w:tc>
        <w:tc>
          <w:tcPr>
            <w:tcW w:w="3373" w:type="dxa"/>
          </w:tcPr>
          <w:p w:rsidR="00EC5A5D" w:rsidRPr="00EC5A5D" w:rsidRDefault="00EC5A5D" w:rsidP="009A3941">
            <w:pPr>
              <w:pStyle w:val="ConsPlusNormal"/>
            </w:pPr>
          </w:p>
        </w:tc>
        <w:tc>
          <w:tcPr>
            <w:tcW w:w="3402" w:type="dxa"/>
            <w:vAlign w:val="center"/>
          </w:tcPr>
          <w:p w:rsidR="00EC5A5D" w:rsidRPr="00EC5A5D" w:rsidRDefault="00EC5A5D" w:rsidP="009A3941">
            <w:pPr>
              <w:pStyle w:val="ConsPlusNormal"/>
            </w:pPr>
          </w:p>
        </w:tc>
        <w:tc>
          <w:tcPr>
            <w:tcW w:w="2977" w:type="dxa"/>
            <w:vMerge/>
          </w:tcPr>
          <w:p w:rsidR="00EC5A5D" w:rsidRPr="00EC5A5D" w:rsidRDefault="00EC5A5D" w:rsidP="009A3941">
            <w:pPr>
              <w:pStyle w:val="ConsPlusNormal"/>
              <w:jc w:val="center"/>
              <w:rPr>
                <w:i/>
              </w:rPr>
            </w:pPr>
          </w:p>
        </w:tc>
      </w:tr>
      <w:tr w:rsidR="00EC5A5D" w:rsidRPr="00EC5A5D" w:rsidTr="009A3941">
        <w:trPr>
          <w:trHeight w:val="20"/>
        </w:trPr>
        <w:tc>
          <w:tcPr>
            <w:tcW w:w="681"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2013" w:type="dxa"/>
            <w:vMerge/>
          </w:tcPr>
          <w:p w:rsidR="00EC5A5D" w:rsidRPr="00EC5A5D" w:rsidRDefault="00EC5A5D" w:rsidP="009A3941">
            <w:pPr>
              <w:autoSpaceDE w:val="0"/>
              <w:autoSpaceDN w:val="0"/>
              <w:adjustRightInd w:val="0"/>
              <w:jc w:val="center"/>
              <w:rPr>
                <w:rFonts w:ascii="Times New Roman" w:eastAsia="Calibri" w:hAnsi="Times New Roman"/>
                <w:bCs/>
                <w:sz w:val="24"/>
                <w:szCs w:val="24"/>
              </w:rPr>
            </w:pPr>
          </w:p>
        </w:tc>
        <w:tc>
          <w:tcPr>
            <w:tcW w:w="3119" w:type="dxa"/>
          </w:tcPr>
          <w:p w:rsidR="00EC5A5D" w:rsidRPr="00EC5A5D" w:rsidRDefault="00EC5A5D" w:rsidP="009A3941">
            <w:pPr>
              <w:suppressAutoHyphens/>
              <w:rPr>
                <w:rFonts w:ascii="Times New Roman" w:eastAsia="Calibri" w:hAnsi="Times New Roman"/>
                <w:bCs/>
                <w:sz w:val="24"/>
                <w:szCs w:val="24"/>
              </w:rPr>
            </w:pPr>
          </w:p>
        </w:tc>
        <w:tc>
          <w:tcPr>
            <w:tcW w:w="3373" w:type="dxa"/>
          </w:tcPr>
          <w:p w:rsidR="00EC5A5D" w:rsidRPr="00EC5A5D" w:rsidRDefault="00EC5A5D" w:rsidP="009A3941">
            <w:pPr>
              <w:pStyle w:val="ConsPlusNormal"/>
            </w:pPr>
          </w:p>
        </w:tc>
        <w:tc>
          <w:tcPr>
            <w:tcW w:w="3402" w:type="dxa"/>
            <w:vAlign w:val="center"/>
          </w:tcPr>
          <w:p w:rsidR="00EC5A5D" w:rsidRPr="00EC5A5D" w:rsidRDefault="00EC5A5D" w:rsidP="009A3941">
            <w:pPr>
              <w:pStyle w:val="ConsPlusNormal"/>
            </w:pPr>
          </w:p>
        </w:tc>
        <w:tc>
          <w:tcPr>
            <w:tcW w:w="2977" w:type="dxa"/>
            <w:vMerge/>
          </w:tcPr>
          <w:p w:rsidR="00EC5A5D" w:rsidRPr="00EC5A5D" w:rsidRDefault="00EC5A5D" w:rsidP="009A3941">
            <w:pPr>
              <w:pStyle w:val="ConsPlusNormal"/>
              <w:jc w:val="center"/>
              <w:rPr>
                <w:i/>
              </w:rPr>
            </w:pPr>
          </w:p>
        </w:tc>
      </w:tr>
      <w:tr w:rsidR="00EC5A5D" w:rsidRPr="00EC5A5D" w:rsidTr="009A3941">
        <w:trPr>
          <w:trHeight w:val="20"/>
        </w:trPr>
        <w:tc>
          <w:tcPr>
            <w:tcW w:w="681"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2013" w:type="dxa"/>
            <w:vMerge/>
          </w:tcPr>
          <w:p w:rsidR="00EC5A5D" w:rsidRPr="00EC5A5D" w:rsidRDefault="00EC5A5D" w:rsidP="009A3941">
            <w:pPr>
              <w:autoSpaceDE w:val="0"/>
              <w:autoSpaceDN w:val="0"/>
              <w:adjustRightInd w:val="0"/>
              <w:jc w:val="center"/>
              <w:rPr>
                <w:rFonts w:ascii="Times New Roman" w:eastAsia="Calibri" w:hAnsi="Times New Roman"/>
                <w:bCs/>
                <w:sz w:val="24"/>
                <w:szCs w:val="24"/>
              </w:rPr>
            </w:pPr>
          </w:p>
        </w:tc>
        <w:tc>
          <w:tcPr>
            <w:tcW w:w="3119" w:type="dxa"/>
          </w:tcPr>
          <w:p w:rsidR="00EC5A5D" w:rsidRPr="00EC5A5D" w:rsidRDefault="00EC5A5D" w:rsidP="009A3941">
            <w:pPr>
              <w:suppressAutoHyphens/>
              <w:rPr>
                <w:rFonts w:ascii="Times New Roman" w:eastAsia="Calibri" w:hAnsi="Times New Roman"/>
                <w:bCs/>
                <w:sz w:val="24"/>
                <w:szCs w:val="24"/>
              </w:rPr>
            </w:pPr>
          </w:p>
        </w:tc>
        <w:tc>
          <w:tcPr>
            <w:tcW w:w="3373" w:type="dxa"/>
          </w:tcPr>
          <w:p w:rsidR="00EC5A5D" w:rsidRPr="00EC5A5D" w:rsidRDefault="00EC5A5D" w:rsidP="009A3941">
            <w:pPr>
              <w:pStyle w:val="ConsPlusNormal"/>
            </w:pPr>
          </w:p>
        </w:tc>
        <w:tc>
          <w:tcPr>
            <w:tcW w:w="3402" w:type="dxa"/>
            <w:vAlign w:val="center"/>
          </w:tcPr>
          <w:p w:rsidR="00EC5A5D" w:rsidRPr="00EC5A5D" w:rsidRDefault="00EC5A5D" w:rsidP="009A3941">
            <w:pPr>
              <w:pStyle w:val="ConsPlusNormal"/>
            </w:pPr>
          </w:p>
        </w:tc>
        <w:tc>
          <w:tcPr>
            <w:tcW w:w="2977" w:type="dxa"/>
            <w:vMerge/>
          </w:tcPr>
          <w:p w:rsidR="00EC5A5D" w:rsidRPr="00EC5A5D" w:rsidRDefault="00EC5A5D" w:rsidP="009A3941">
            <w:pPr>
              <w:pStyle w:val="ConsPlusNormal"/>
              <w:jc w:val="center"/>
              <w:rPr>
                <w:i/>
              </w:rPr>
            </w:pPr>
          </w:p>
        </w:tc>
      </w:tr>
      <w:tr w:rsidR="00EC5A5D" w:rsidRPr="00EC5A5D" w:rsidTr="009A3941">
        <w:trPr>
          <w:trHeight w:val="20"/>
        </w:trPr>
        <w:tc>
          <w:tcPr>
            <w:tcW w:w="681" w:type="dxa"/>
            <w:vMerge w:val="restart"/>
          </w:tcPr>
          <w:p w:rsidR="00EC5A5D" w:rsidRPr="00EC5A5D" w:rsidRDefault="00EC5A5D" w:rsidP="009A3941">
            <w:pPr>
              <w:autoSpaceDE w:val="0"/>
              <w:autoSpaceDN w:val="0"/>
              <w:adjustRightInd w:val="0"/>
              <w:jc w:val="center"/>
              <w:rPr>
                <w:rFonts w:ascii="Times New Roman" w:eastAsia="Calibri" w:hAnsi="Times New Roman"/>
                <w:sz w:val="24"/>
                <w:szCs w:val="24"/>
              </w:rPr>
            </w:pPr>
            <w:r w:rsidRPr="00EC5A5D">
              <w:rPr>
                <w:rFonts w:ascii="Times New Roman" w:eastAsia="Calibri" w:hAnsi="Times New Roman"/>
                <w:sz w:val="24"/>
                <w:szCs w:val="24"/>
              </w:rPr>
              <w:t>…</w:t>
            </w:r>
          </w:p>
        </w:tc>
        <w:tc>
          <w:tcPr>
            <w:tcW w:w="2013" w:type="dxa"/>
            <w:vMerge w:val="restart"/>
          </w:tcPr>
          <w:p w:rsidR="00EC5A5D" w:rsidRPr="00EC5A5D" w:rsidRDefault="00EC5A5D" w:rsidP="009A3941">
            <w:pPr>
              <w:rPr>
                <w:rFonts w:ascii="Times New Roman" w:eastAsia="Calibri"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C5A5D" w:rsidRPr="00EC5A5D" w:rsidRDefault="00EC5A5D" w:rsidP="009A3941">
            <w:pPr>
              <w:autoSpaceDE w:val="0"/>
              <w:autoSpaceDN w:val="0"/>
              <w:adjustRightInd w:val="0"/>
              <w:rPr>
                <w:rFonts w:ascii="Times New Roman" w:eastAsia="Calibri"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rsidR="00EC5A5D" w:rsidRPr="00EC5A5D" w:rsidRDefault="00EC5A5D" w:rsidP="009A3941">
            <w:pPr>
              <w:pStyle w:val="ConsPlusNormal"/>
            </w:pPr>
          </w:p>
        </w:tc>
        <w:tc>
          <w:tcPr>
            <w:tcW w:w="3402" w:type="dxa"/>
            <w:tcBorders>
              <w:top w:val="single" w:sz="4" w:space="0" w:color="auto"/>
              <w:left w:val="single" w:sz="4" w:space="0" w:color="auto"/>
              <w:bottom w:val="single" w:sz="4" w:space="0" w:color="auto"/>
              <w:right w:val="single" w:sz="4" w:space="0" w:color="auto"/>
            </w:tcBorders>
            <w:vAlign w:val="center"/>
          </w:tcPr>
          <w:p w:rsidR="00EC5A5D" w:rsidRPr="00EC5A5D" w:rsidRDefault="00EC5A5D" w:rsidP="009A3941">
            <w:pPr>
              <w:pStyle w:val="ConsPlusNormal"/>
            </w:pPr>
          </w:p>
        </w:tc>
        <w:tc>
          <w:tcPr>
            <w:tcW w:w="2977" w:type="dxa"/>
            <w:vMerge w:val="restart"/>
            <w:tcBorders>
              <w:top w:val="single" w:sz="4" w:space="0" w:color="auto"/>
              <w:left w:val="single" w:sz="4" w:space="0" w:color="auto"/>
              <w:right w:val="single" w:sz="4" w:space="0" w:color="auto"/>
            </w:tcBorders>
          </w:tcPr>
          <w:p w:rsidR="00EC5A5D" w:rsidRPr="00EC5A5D" w:rsidRDefault="00EC5A5D" w:rsidP="009A3941">
            <w:pPr>
              <w:pStyle w:val="ConsPlusNormal"/>
              <w:jc w:val="center"/>
              <w:rPr>
                <w:i/>
              </w:rPr>
            </w:pPr>
          </w:p>
        </w:tc>
      </w:tr>
      <w:tr w:rsidR="00EC5A5D" w:rsidRPr="00EC5A5D" w:rsidTr="009A3941">
        <w:trPr>
          <w:trHeight w:val="20"/>
        </w:trPr>
        <w:tc>
          <w:tcPr>
            <w:tcW w:w="681"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2013"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C5A5D" w:rsidRPr="00EC5A5D" w:rsidRDefault="00EC5A5D" w:rsidP="009A3941">
            <w:pPr>
              <w:rPr>
                <w:rFonts w:ascii="Times New Roman" w:eastAsia="Calibri"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rsidR="00EC5A5D" w:rsidRPr="00EC5A5D" w:rsidRDefault="00EC5A5D" w:rsidP="009A3941">
            <w:pPr>
              <w:pStyle w:val="ConsPlusNormal"/>
            </w:pPr>
          </w:p>
        </w:tc>
        <w:tc>
          <w:tcPr>
            <w:tcW w:w="3402" w:type="dxa"/>
            <w:tcBorders>
              <w:top w:val="single" w:sz="4" w:space="0" w:color="auto"/>
              <w:left w:val="single" w:sz="4" w:space="0" w:color="auto"/>
              <w:bottom w:val="single" w:sz="4" w:space="0" w:color="auto"/>
              <w:right w:val="single" w:sz="4" w:space="0" w:color="auto"/>
            </w:tcBorders>
            <w:vAlign w:val="center"/>
          </w:tcPr>
          <w:p w:rsidR="00EC5A5D" w:rsidRPr="00EC5A5D" w:rsidRDefault="00EC5A5D" w:rsidP="009A3941">
            <w:pPr>
              <w:pStyle w:val="ConsPlusNormal"/>
            </w:pPr>
          </w:p>
        </w:tc>
        <w:tc>
          <w:tcPr>
            <w:tcW w:w="2977" w:type="dxa"/>
            <w:vMerge/>
            <w:tcBorders>
              <w:left w:val="single" w:sz="4" w:space="0" w:color="auto"/>
              <w:right w:val="single" w:sz="4" w:space="0" w:color="auto"/>
            </w:tcBorders>
          </w:tcPr>
          <w:p w:rsidR="00EC5A5D" w:rsidRPr="00EC5A5D" w:rsidRDefault="00EC5A5D" w:rsidP="009A3941">
            <w:pPr>
              <w:pStyle w:val="ConsPlusNormal"/>
              <w:jc w:val="center"/>
              <w:rPr>
                <w:i/>
              </w:rPr>
            </w:pPr>
          </w:p>
        </w:tc>
      </w:tr>
      <w:tr w:rsidR="00EC5A5D" w:rsidRPr="00EC5A5D" w:rsidTr="009A3941">
        <w:trPr>
          <w:trHeight w:val="20"/>
        </w:trPr>
        <w:tc>
          <w:tcPr>
            <w:tcW w:w="681"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2013" w:type="dxa"/>
            <w:vMerge/>
          </w:tcPr>
          <w:p w:rsidR="00EC5A5D" w:rsidRPr="00EC5A5D" w:rsidRDefault="00EC5A5D" w:rsidP="009A3941">
            <w:pPr>
              <w:autoSpaceDE w:val="0"/>
              <w:autoSpaceDN w:val="0"/>
              <w:adjustRightInd w:val="0"/>
              <w:jc w:val="center"/>
              <w:rPr>
                <w:rFonts w:ascii="Times New Roman" w:eastAsia="Calibri"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C5A5D" w:rsidRPr="00EC5A5D" w:rsidRDefault="00EC5A5D" w:rsidP="009A3941">
            <w:pPr>
              <w:autoSpaceDE w:val="0"/>
              <w:autoSpaceDN w:val="0"/>
              <w:adjustRightInd w:val="0"/>
              <w:rPr>
                <w:rFonts w:ascii="Times New Roman" w:eastAsia="Calibri" w:hAnsi="Times New Roman"/>
                <w:sz w:val="24"/>
                <w:szCs w:val="24"/>
              </w:rPr>
            </w:pPr>
          </w:p>
        </w:tc>
        <w:tc>
          <w:tcPr>
            <w:tcW w:w="3373" w:type="dxa"/>
            <w:tcBorders>
              <w:top w:val="single" w:sz="4" w:space="0" w:color="auto"/>
              <w:left w:val="single" w:sz="4" w:space="0" w:color="auto"/>
              <w:bottom w:val="single" w:sz="4" w:space="0" w:color="auto"/>
              <w:right w:val="single" w:sz="4" w:space="0" w:color="auto"/>
            </w:tcBorders>
          </w:tcPr>
          <w:p w:rsidR="00EC5A5D" w:rsidRPr="00EC5A5D" w:rsidRDefault="00EC5A5D" w:rsidP="009A3941">
            <w:pPr>
              <w:pStyle w:val="ConsPlusNormal"/>
            </w:pPr>
          </w:p>
        </w:tc>
        <w:tc>
          <w:tcPr>
            <w:tcW w:w="3402" w:type="dxa"/>
            <w:tcBorders>
              <w:top w:val="single" w:sz="4" w:space="0" w:color="auto"/>
              <w:left w:val="single" w:sz="4" w:space="0" w:color="auto"/>
              <w:bottom w:val="single" w:sz="4" w:space="0" w:color="auto"/>
              <w:right w:val="single" w:sz="4" w:space="0" w:color="auto"/>
            </w:tcBorders>
            <w:vAlign w:val="center"/>
          </w:tcPr>
          <w:p w:rsidR="00EC5A5D" w:rsidRPr="00EC5A5D" w:rsidRDefault="00EC5A5D" w:rsidP="009A3941">
            <w:pPr>
              <w:pStyle w:val="ConsPlusNormal"/>
            </w:pPr>
          </w:p>
        </w:tc>
        <w:tc>
          <w:tcPr>
            <w:tcW w:w="2977" w:type="dxa"/>
            <w:vMerge/>
            <w:tcBorders>
              <w:left w:val="single" w:sz="4" w:space="0" w:color="auto"/>
              <w:bottom w:val="single" w:sz="4" w:space="0" w:color="auto"/>
              <w:right w:val="single" w:sz="4" w:space="0" w:color="auto"/>
            </w:tcBorders>
          </w:tcPr>
          <w:p w:rsidR="00EC5A5D" w:rsidRPr="00EC5A5D" w:rsidRDefault="00EC5A5D" w:rsidP="009A3941">
            <w:pPr>
              <w:pStyle w:val="ConsPlusNormal"/>
              <w:jc w:val="center"/>
              <w:rPr>
                <w:i/>
              </w:rPr>
            </w:pPr>
          </w:p>
        </w:tc>
      </w:tr>
    </w:tbl>
    <w:p w:rsidR="00EC5A5D" w:rsidRPr="00EC5A5D" w:rsidRDefault="00EC5A5D" w:rsidP="00EC5A5D">
      <w:pPr>
        <w:ind w:firstLine="709"/>
        <w:rPr>
          <w:rFonts w:ascii="Times New Roman" w:hAnsi="Times New Roman"/>
          <w:i/>
          <w:sz w:val="24"/>
          <w:szCs w:val="24"/>
        </w:rPr>
      </w:pPr>
      <w:r w:rsidRPr="00EC5A5D">
        <w:rPr>
          <w:rFonts w:ascii="Times New Roman" w:hAnsi="Times New Roman"/>
          <w:i/>
          <w:sz w:val="24"/>
          <w:szCs w:val="24"/>
        </w:rPr>
        <w:t>Примечание:</w:t>
      </w:r>
    </w:p>
    <w:p w:rsidR="00EC5A5D" w:rsidRPr="00EC5A5D" w:rsidRDefault="00EC5A5D" w:rsidP="00EC5A5D">
      <w:pPr>
        <w:ind w:firstLine="709"/>
        <w:rPr>
          <w:rFonts w:ascii="Times New Roman" w:hAnsi="Times New Roman"/>
          <w:i/>
          <w:sz w:val="24"/>
          <w:szCs w:val="24"/>
        </w:rPr>
      </w:pPr>
      <w:r w:rsidRPr="00EC5A5D">
        <w:rPr>
          <w:rFonts w:ascii="Times New Roman" w:hAnsi="Times New Roman"/>
          <w:i/>
          <w:sz w:val="24"/>
          <w:szCs w:val="24"/>
        </w:rPr>
        <w:t>1) строки в столбцах 2, 3, 5 заполняются в строгом соответствии с приложением «Функциональные характеристики (потребительские свойства) поставляемых товаров (используемых материалов)» Части II «Описание объекта закупки»;</w:t>
      </w:r>
    </w:p>
    <w:p w:rsidR="00EC5A5D" w:rsidRPr="00EC5A5D" w:rsidRDefault="00EC5A5D" w:rsidP="00EC5A5D">
      <w:pPr>
        <w:ind w:firstLine="709"/>
        <w:rPr>
          <w:rFonts w:ascii="Times New Roman" w:hAnsi="Times New Roman"/>
          <w:i/>
          <w:sz w:val="24"/>
          <w:szCs w:val="24"/>
        </w:rPr>
      </w:pPr>
      <w:r w:rsidRPr="00EC5A5D">
        <w:rPr>
          <w:rFonts w:ascii="Times New Roman" w:hAnsi="Times New Roman"/>
          <w:i/>
          <w:sz w:val="24"/>
          <w:szCs w:val="24"/>
        </w:rPr>
        <w:t>2) строки в столбце 4 заполняются в соответствии с настоящей инструкцией по заполнению заявки на участие в аукционе и приложением «Функциональные характеристики (потребительские свойства) поставляемых товаров (используемых материалов)» Части II «Описание объекта закупки»;</w:t>
      </w:r>
    </w:p>
    <w:p w:rsidR="00EC5A5D" w:rsidRPr="00EC5A5D" w:rsidRDefault="00EC5A5D" w:rsidP="00EC5A5D">
      <w:pPr>
        <w:ind w:firstLine="709"/>
        <w:rPr>
          <w:rFonts w:ascii="Times New Roman" w:hAnsi="Times New Roman"/>
          <w:i/>
          <w:sz w:val="24"/>
          <w:szCs w:val="24"/>
        </w:rPr>
      </w:pPr>
      <w:r w:rsidRPr="00EC5A5D">
        <w:rPr>
          <w:rFonts w:ascii="Times New Roman" w:hAnsi="Times New Roman"/>
          <w:i/>
          <w:sz w:val="24"/>
          <w:szCs w:val="24"/>
        </w:rPr>
        <w:t>3) в строках столбца 6 указывается страна происхождения поставляемых товаров (используемых материалов) по каждой позиции столбца 2.</w:t>
      </w:r>
    </w:p>
    <w:p w:rsidR="00071483" w:rsidRPr="00F17B4B" w:rsidRDefault="00071483" w:rsidP="00EC5A5D">
      <w:pPr>
        <w:jc w:val="right"/>
        <w:rPr>
          <w:rFonts w:ascii="Times New Roman" w:hAnsi="Times New Roman"/>
          <w:i/>
          <w:sz w:val="22"/>
          <w:szCs w:val="22"/>
        </w:rPr>
      </w:pPr>
    </w:p>
    <w:sectPr w:rsidR="00071483" w:rsidRPr="00F17B4B" w:rsidSect="00DA610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A2" w:rsidRDefault="00E332A2" w:rsidP="00B600B7">
      <w:r>
        <w:separator/>
      </w:r>
    </w:p>
  </w:endnote>
  <w:endnote w:type="continuationSeparator" w:id="0">
    <w:p w:rsidR="00E332A2" w:rsidRDefault="00E332A2" w:rsidP="00B6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A2" w:rsidRDefault="00E332A2" w:rsidP="00B600B7">
      <w:r>
        <w:separator/>
      </w:r>
    </w:p>
  </w:footnote>
  <w:footnote w:type="continuationSeparator" w:id="0">
    <w:p w:rsidR="00E332A2" w:rsidRDefault="00E332A2" w:rsidP="00B600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B5EC3"/>
    <w:multiLevelType w:val="hybridMultilevel"/>
    <w:tmpl w:val="67B87542"/>
    <w:lvl w:ilvl="0" w:tplc="D6AC4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AD"/>
    <w:rsid w:val="00024E6B"/>
    <w:rsid w:val="000347FF"/>
    <w:rsid w:val="00035C21"/>
    <w:rsid w:val="00047CE5"/>
    <w:rsid w:val="00055792"/>
    <w:rsid w:val="00065ACD"/>
    <w:rsid w:val="00071483"/>
    <w:rsid w:val="000A07EF"/>
    <w:rsid w:val="00103FA9"/>
    <w:rsid w:val="00133AB1"/>
    <w:rsid w:val="00162D40"/>
    <w:rsid w:val="00180056"/>
    <w:rsid w:val="00181029"/>
    <w:rsid w:val="0019323E"/>
    <w:rsid w:val="001B7ECA"/>
    <w:rsid w:val="001C740F"/>
    <w:rsid w:val="002348D8"/>
    <w:rsid w:val="00270FD2"/>
    <w:rsid w:val="00280148"/>
    <w:rsid w:val="002A1F7D"/>
    <w:rsid w:val="002A39E1"/>
    <w:rsid w:val="002B1150"/>
    <w:rsid w:val="002B33F5"/>
    <w:rsid w:val="002D065F"/>
    <w:rsid w:val="002D1C41"/>
    <w:rsid w:val="003350AD"/>
    <w:rsid w:val="00387D4B"/>
    <w:rsid w:val="003A0DAD"/>
    <w:rsid w:val="003A391A"/>
    <w:rsid w:val="003C78D2"/>
    <w:rsid w:val="003D7505"/>
    <w:rsid w:val="003F373A"/>
    <w:rsid w:val="00401F3D"/>
    <w:rsid w:val="0040424C"/>
    <w:rsid w:val="00440D92"/>
    <w:rsid w:val="0047325F"/>
    <w:rsid w:val="0048136E"/>
    <w:rsid w:val="004A6275"/>
    <w:rsid w:val="00536CCB"/>
    <w:rsid w:val="005F1891"/>
    <w:rsid w:val="005F789A"/>
    <w:rsid w:val="006008C4"/>
    <w:rsid w:val="006045CB"/>
    <w:rsid w:val="007B121D"/>
    <w:rsid w:val="00837616"/>
    <w:rsid w:val="00844FB6"/>
    <w:rsid w:val="00876DA0"/>
    <w:rsid w:val="00883C76"/>
    <w:rsid w:val="008A1B85"/>
    <w:rsid w:val="00953F2A"/>
    <w:rsid w:val="00970CBB"/>
    <w:rsid w:val="00A75DBC"/>
    <w:rsid w:val="00AA5E65"/>
    <w:rsid w:val="00AC459E"/>
    <w:rsid w:val="00AF51EA"/>
    <w:rsid w:val="00B05B26"/>
    <w:rsid w:val="00B17FF0"/>
    <w:rsid w:val="00B57ED9"/>
    <w:rsid w:val="00B600B7"/>
    <w:rsid w:val="00B604C7"/>
    <w:rsid w:val="00BD5776"/>
    <w:rsid w:val="00BE1865"/>
    <w:rsid w:val="00C44D17"/>
    <w:rsid w:val="00C45DC1"/>
    <w:rsid w:val="00C66758"/>
    <w:rsid w:val="00C72317"/>
    <w:rsid w:val="00CA04F0"/>
    <w:rsid w:val="00CB4F6C"/>
    <w:rsid w:val="00CC6290"/>
    <w:rsid w:val="00CD3BD9"/>
    <w:rsid w:val="00D222DA"/>
    <w:rsid w:val="00D56916"/>
    <w:rsid w:val="00DA6102"/>
    <w:rsid w:val="00DD59A7"/>
    <w:rsid w:val="00E332A2"/>
    <w:rsid w:val="00E903A8"/>
    <w:rsid w:val="00EC5A5D"/>
    <w:rsid w:val="00EE0B28"/>
    <w:rsid w:val="00F17B4B"/>
    <w:rsid w:val="00F62A3A"/>
    <w:rsid w:val="00F72770"/>
    <w:rsid w:val="00FC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93A1"/>
  <w15:docId w15:val="{D2BC6FAF-E357-49B6-A6F3-234F4EC7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65"/>
    <w:pPr>
      <w:spacing w:after="0" w:line="240" w:lineRule="auto"/>
      <w:jc w:val="both"/>
    </w:pPr>
    <w:rPr>
      <w:rFonts w:ascii="Arial" w:eastAsia="Times New Roman" w:hAnsi="Arial" w:cs="Times New Roman"/>
      <w:sz w:val="20"/>
      <w:szCs w:val="20"/>
    </w:rPr>
  </w:style>
  <w:style w:type="paragraph" w:styleId="1">
    <w:name w:val="heading 1"/>
    <w:basedOn w:val="a"/>
    <w:next w:val="a"/>
    <w:link w:val="10"/>
    <w:uiPriority w:val="9"/>
    <w:qFormat/>
    <w:rsid w:val="00162D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62D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
    <w:basedOn w:val="a"/>
    <w:next w:val="a"/>
    <w:link w:val="30"/>
    <w:qFormat/>
    <w:rsid w:val="00B600B7"/>
    <w:pPr>
      <w:keepNext/>
      <w:numPr>
        <w:ilvl w:val="2"/>
        <w:numId w:val="2"/>
      </w:numPr>
      <w:spacing w:before="240" w:after="60"/>
      <w:outlineLvl w:val="2"/>
    </w:pPr>
    <w:rPr>
      <w:b/>
      <w:sz w:val="24"/>
      <w:lang w:eastAsia="ru-RU"/>
    </w:rPr>
  </w:style>
  <w:style w:type="paragraph" w:styleId="4">
    <w:name w:val="heading 4"/>
    <w:aliases w:val="H4"/>
    <w:basedOn w:val="a"/>
    <w:next w:val="a"/>
    <w:link w:val="40"/>
    <w:qFormat/>
    <w:rsid w:val="00B600B7"/>
    <w:pPr>
      <w:keepNext/>
      <w:numPr>
        <w:ilvl w:val="3"/>
        <w:numId w:val="2"/>
      </w:numPr>
      <w:spacing w:before="240" w:after="60"/>
      <w:outlineLvl w:val="3"/>
    </w:pPr>
    <w:rPr>
      <w:sz w:val="24"/>
      <w:lang w:eastAsia="ru-RU"/>
    </w:rPr>
  </w:style>
  <w:style w:type="paragraph" w:styleId="5">
    <w:name w:val="heading 5"/>
    <w:aliases w:val="H5"/>
    <w:basedOn w:val="a"/>
    <w:next w:val="a"/>
    <w:link w:val="50"/>
    <w:qFormat/>
    <w:rsid w:val="00B600B7"/>
    <w:pPr>
      <w:numPr>
        <w:ilvl w:val="4"/>
        <w:numId w:val="2"/>
      </w:numPr>
      <w:spacing w:before="240" w:after="60"/>
      <w:outlineLvl w:val="4"/>
    </w:pPr>
    <w:rPr>
      <w:rFonts w:ascii="Times New Roman" w:hAnsi="Times New Roman"/>
      <w:sz w:val="22"/>
      <w:lang w:eastAsia="ru-RU"/>
    </w:rPr>
  </w:style>
  <w:style w:type="paragraph" w:styleId="6">
    <w:name w:val="heading 6"/>
    <w:basedOn w:val="a"/>
    <w:next w:val="a"/>
    <w:link w:val="60"/>
    <w:qFormat/>
    <w:rsid w:val="00B600B7"/>
    <w:pPr>
      <w:numPr>
        <w:ilvl w:val="5"/>
        <w:numId w:val="2"/>
      </w:numPr>
      <w:spacing w:before="240" w:after="60"/>
      <w:outlineLvl w:val="5"/>
    </w:pPr>
    <w:rPr>
      <w:rFonts w:ascii="Times New Roman" w:hAnsi="Times New Roman"/>
      <w:i/>
      <w:sz w:val="22"/>
      <w:lang w:eastAsia="ru-RU"/>
    </w:rPr>
  </w:style>
  <w:style w:type="paragraph" w:styleId="7">
    <w:name w:val="heading 7"/>
    <w:basedOn w:val="a"/>
    <w:next w:val="a"/>
    <w:link w:val="70"/>
    <w:qFormat/>
    <w:rsid w:val="00B600B7"/>
    <w:pPr>
      <w:numPr>
        <w:ilvl w:val="6"/>
        <w:numId w:val="2"/>
      </w:numPr>
      <w:spacing w:before="240" w:after="60"/>
      <w:outlineLvl w:val="6"/>
    </w:pPr>
    <w:rPr>
      <w:lang w:eastAsia="ru-RU"/>
    </w:rPr>
  </w:style>
  <w:style w:type="paragraph" w:styleId="8">
    <w:name w:val="heading 8"/>
    <w:basedOn w:val="a"/>
    <w:next w:val="a"/>
    <w:link w:val="80"/>
    <w:qFormat/>
    <w:rsid w:val="00B600B7"/>
    <w:pPr>
      <w:numPr>
        <w:ilvl w:val="7"/>
        <w:numId w:val="2"/>
      </w:numPr>
      <w:spacing w:before="240" w:after="60"/>
      <w:outlineLvl w:val="7"/>
    </w:pPr>
    <w:rPr>
      <w:i/>
      <w:lang w:eastAsia="ru-RU"/>
    </w:rPr>
  </w:style>
  <w:style w:type="paragraph" w:styleId="9">
    <w:name w:val="heading 9"/>
    <w:basedOn w:val="a"/>
    <w:next w:val="a"/>
    <w:link w:val="90"/>
    <w:qFormat/>
    <w:rsid w:val="00B600B7"/>
    <w:pPr>
      <w:numPr>
        <w:ilvl w:val="8"/>
        <w:numId w:val="2"/>
      </w:numPr>
      <w:spacing w:before="240" w:after="60"/>
      <w:outlineLvl w:val="8"/>
    </w:pPr>
    <w:rPr>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865"/>
    <w:pPr>
      <w:autoSpaceDE w:val="0"/>
      <w:autoSpaceDN w:val="0"/>
      <w:adjustRightInd w:val="0"/>
      <w:spacing w:after="0" w:line="240" w:lineRule="auto"/>
    </w:pPr>
    <w:rPr>
      <w:rFonts w:ascii="Times New Roman" w:hAnsi="Times New Roman" w:cs="Times New Roman"/>
      <w:sz w:val="24"/>
      <w:szCs w:val="24"/>
    </w:rPr>
  </w:style>
  <w:style w:type="table" w:styleId="a3">
    <w:name w:val="Table Grid"/>
    <w:basedOn w:val="a1"/>
    <w:uiPriority w:val="59"/>
    <w:rsid w:val="007B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F1891"/>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customStyle="1" w:styleId="11">
    <w:name w:val="Основной текст1"/>
    <w:basedOn w:val="a"/>
    <w:link w:val="12"/>
    <w:rsid w:val="005F1891"/>
    <w:pPr>
      <w:spacing w:before="60" w:after="60"/>
      <w:ind w:firstLine="720"/>
    </w:pPr>
    <w:rPr>
      <w:rFonts w:ascii="Calibri" w:hAnsi="Calibri"/>
      <w:sz w:val="24"/>
      <w:lang w:eastAsia="ru-RU"/>
    </w:rPr>
  </w:style>
  <w:style w:type="character" w:customStyle="1" w:styleId="12">
    <w:name w:val="Основной текст1 Знак"/>
    <w:link w:val="11"/>
    <w:locked/>
    <w:rsid w:val="005F1891"/>
    <w:rPr>
      <w:rFonts w:ascii="Calibri" w:eastAsia="Times New Roman" w:hAnsi="Calibri" w:cs="Times New Roman"/>
      <w:sz w:val="24"/>
      <w:szCs w:val="20"/>
      <w:lang w:eastAsia="ru-RU"/>
    </w:rPr>
  </w:style>
  <w:style w:type="paragraph" w:styleId="a4">
    <w:name w:val="List Paragraph"/>
    <w:basedOn w:val="a"/>
    <w:uiPriority w:val="34"/>
    <w:qFormat/>
    <w:rsid w:val="003C78D2"/>
    <w:pPr>
      <w:ind w:left="720"/>
      <w:contextualSpacing/>
    </w:pPr>
  </w:style>
  <w:style w:type="character" w:customStyle="1" w:styleId="30">
    <w:name w:val="Заголовок 3 Знак"/>
    <w:aliases w:val="H3 Знак"/>
    <w:basedOn w:val="a0"/>
    <w:link w:val="3"/>
    <w:rsid w:val="00B600B7"/>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B600B7"/>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B600B7"/>
    <w:rPr>
      <w:rFonts w:ascii="Times New Roman" w:eastAsia="Times New Roman" w:hAnsi="Times New Roman" w:cs="Times New Roman"/>
      <w:szCs w:val="20"/>
      <w:lang w:eastAsia="ru-RU"/>
    </w:rPr>
  </w:style>
  <w:style w:type="character" w:customStyle="1" w:styleId="60">
    <w:name w:val="Заголовок 6 Знак"/>
    <w:basedOn w:val="a0"/>
    <w:link w:val="6"/>
    <w:rsid w:val="00B600B7"/>
    <w:rPr>
      <w:rFonts w:ascii="Times New Roman" w:eastAsia="Times New Roman" w:hAnsi="Times New Roman" w:cs="Times New Roman"/>
      <w:i/>
      <w:szCs w:val="20"/>
      <w:lang w:eastAsia="ru-RU"/>
    </w:rPr>
  </w:style>
  <w:style w:type="character" w:customStyle="1" w:styleId="70">
    <w:name w:val="Заголовок 7 Знак"/>
    <w:basedOn w:val="a0"/>
    <w:link w:val="7"/>
    <w:rsid w:val="00B600B7"/>
    <w:rPr>
      <w:rFonts w:ascii="Arial" w:eastAsia="Times New Roman" w:hAnsi="Arial" w:cs="Times New Roman"/>
      <w:sz w:val="20"/>
      <w:szCs w:val="20"/>
      <w:lang w:eastAsia="ru-RU"/>
    </w:rPr>
  </w:style>
  <w:style w:type="character" w:customStyle="1" w:styleId="80">
    <w:name w:val="Заголовок 8 Знак"/>
    <w:basedOn w:val="a0"/>
    <w:link w:val="8"/>
    <w:rsid w:val="00B600B7"/>
    <w:rPr>
      <w:rFonts w:ascii="Arial" w:eastAsia="Times New Roman" w:hAnsi="Arial" w:cs="Times New Roman"/>
      <w:i/>
      <w:sz w:val="20"/>
      <w:szCs w:val="20"/>
      <w:lang w:eastAsia="ru-RU"/>
    </w:rPr>
  </w:style>
  <w:style w:type="character" w:customStyle="1" w:styleId="90">
    <w:name w:val="Заголовок 9 Знак"/>
    <w:basedOn w:val="a0"/>
    <w:link w:val="9"/>
    <w:rsid w:val="00B600B7"/>
    <w:rPr>
      <w:rFonts w:ascii="Arial" w:eastAsia="Times New Roman" w:hAnsi="Arial" w:cs="Times New Roman"/>
      <w:b/>
      <w:i/>
      <w:sz w:val="18"/>
      <w:szCs w:val="20"/>
      <w:lang w:eastAsia="ru-RU"/>
    </w:rPr>
  </w:style>
  <w:style w:type="character" w:customStyle="1" w:styleId="postbody1">
    <w:name w:val="postbody1"/>
    <w:basedOn w:val="a0"/>
    <w:rsid w:val="00B600B7"/>
    <w:rPr>
      <w:sz w:val="18"/>
      <w:szCs w:val="18"/>
    </w:rPr>
  </w:style>
  <w:style w:type="paragraph" w:styleId="a5">
    <w:name w:val="Title"/>
    <w:basedOn w:val="a"/>
    <w:link w:val="a6"/>
    <w:qFormat/>
    <w:rsid w:val="00B600B7"/>
    <w:pPr>
      <w:spacing w:before="240" w:after="60"/>
      <w:jc w:val="center"/>
      <w:outlineLvl w:val="0"/>
    </w:pPr>
    <w:rPr>
      <w:b/>
      <w:kern w:val="28"/>
      <w:sz w:val="32"/>
      <w:lang w:eastAsia="ru-RU"/>
    </w:rPr>
  </w:style>
  <w:style w:type="character" w:customStyle="1" w:styleId="a6">
    <w:name w:val="Заголовок Знак"/>
    <w:basedOn w:val="a0"/>
    <w:link w:val="a5"/>
    <w:rsid w:val="00B600B7"/>
    <w:rPr>
      <w:rFonts w:ascii="Arial" w:eastAsia="Times New Roman" w:hAnsi="Arial" w:cs="Times New Roman"/>
      <w:b/>
      <w:kern w:val="28"/>
      <w:sz w:val="32"/>
      <w:szCs w:val="20"/>
      <w:lang w:eastAsia="ru-RU"/>
    </w:rPr>
  </w:style>
  <w:style w:type="paragraph" w:styleId="a7">
    <w:name w:val="footnote text"/>
    <w:basedOn w:val="a"/>
    <w:link w:val="a8"/>
    <w:uiPriority w:val="99"/>
    <w:semiHidden/>
    <w:unhideWhenUsed/>
    <w:rsid w:val="00B600B7"/>
    <w:rPr>
      <w:rFonts w:ascii="Times New Roman" w:hAnsi="Times New Roman"/>
      <w:lang w:eastAsia="ru-RU"/>
    </w:rPr>
  </w:style>
  <w:style w:type="character" w:customStyle="1" w:styleId="a8">
    <w:name w:val="Текст сноски Знак"/>
    <w:basedOn w:val="a0"/>
    <w:link w:val="a7"/>
    <w:uiPriority w:val="99"/>
    <w:semiHidden/>
    <w:rsid w:val="00B600B7"/>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600B7"/>
    <w:rPr>
      <w:vertAlign w:val="superscript"/>
    </w:rPr>
  </w:style>
  <w:style w:type="character" w:styleId="aa">
    <w:name w:val="Hyperlink"/>
    <w:basedOn w:val="a0"/>
    <w:uiPriority w:val="99"/>
    <w:unhideWhenUsed/>
    <w:rsid w:val="00BD5776"/>
    <w:rPr>
      <w:color w:val="0000FF" w:themeColor="hyperlink"/>
      <w:u w:val="single"/>
    </w:rPr>
  </w:style>
  <w:style w:type="paragraph" w:styleId="ab">
    <w:name w:val="Balloon Text"/>
    <w:basedOn w:val="a"/>
    <w:link w:val="ac"/>
    <w:uiPriority w:val="99"/>
    <w:semiHidden/>
    <w:unhideWhenUsed/>
    <w:rsid w:val="00837616"/>
    <w:rPr>
      <w:rFonts w:cs="Arial"/>
      <w:sz w:val="18"/>
      <w:szCs w:val="18"/>
    </w:rPr>
  </w:style>
  <w:style w:type="character" w:customStyle="1" w:styleId="ac">
    <w:name w:val="Текст выноски Знак"/>
    <w:basedOn w:val="a0"/>
    <w:link w:val="ab"/>
    <w:uiPriority w:val="99"/>
    <w:semiHidden/>
    <w:rsid w:val="00837616"/>
    <w:rPr>
      <w:rFonts w:ascii="Arial" w:eastAsia="Times New Roman" w:hAnsi="Arial" w:cs="Arial"/>
      <w:sz w:val="18"/>
      <w:szCs w:val="18"/>
    </w:rPr>
  </w:style>
  <w:style w:type="character" w:customStyle="1" w:styleId="10">
    <w:name w:val="Заголовок 1 Знак"/>
    <w:basedOn w:val="a0"/>
    <w:link w:val="1"/>
    <w:uiPriority w:val="9"/>
    <w:rsid w:val="00162D4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62D40"/>
    <w:rPr>
      <w:rFonts w:asciiTheme="majorHAnsi" w:eastAsiaTheme="majorEastAsia" w:hAnsiTheme="majorHAnsi" w:cstheme="majorBidi"/>
      <w:color w:val="365F91" w:themeColor="accent1" w:themeShade="BF"/>
      <w:sz w:val="26"/>
      <w:szCs w:val="26"/>
    </w:rPr>
  </w:style>
  <w:style w:type="table" w:customStyle="1" w:styleId="13">
    <w:name w:val="Сетка таблицы1"/>
    <w:basedOn w:val="a1"/>
    <w:next w:val="a3"/>
    <w:uiPriority w:val="59"/>
    <w:rsid w:val="00162D40"/>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F09C-62CD-4B03-9D1F-C4CECFE0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 Антон Евгеньевич</dc:creator>
  <cp:lastModifiedBy>Наталья В. Саратовская</cp:lastModifiedBy>
  <cp:revision>3</cp:revision>
  <cp:lastPrinted>2018-05-16T12:54:00Z</cp:lastPrinted>
  <dcterms:created xsi:type="dcterms:W3CDTF">2018-05-08T10:35:00Z</dcterms:created>
  <dcterms:modified xsi:type="dcterms:W3CDTF">2018-05-16T12:56:00Z</dcterms:modified>
</cp:coreProperties>
</file>