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77" w:rsidRDefault="00A06B77" w:rsidP="00C60564">
      <w:pPr>
        <w:pStyle w:val="ac"/>
        <w:spacing w:before="0" w:beforeAutospacing="0" w:after="0" w:afterAutospacing="0"/>
        <w:jc w:val="center"/>
        <w:rPr>
          <w:b/>
        </w:rPr>
      </w:pPr>
      <w:bookmarkStart w:id="0" w:name="_GoBack"/>
      <w:bookmarkStart w:id="1" w:name="_Toc473809264"/>
      <w:bookmarkStart w:id="2" w:name="Тех_часть"/>
      <w:bookmarkStart w:id="3" w:name="_Toc180148399"/>
      <w:bookmarkStart w:id="4" w:name="_Toc246846261"/>
      <w:bookmarkEnd w:id="0"/>
    </w:p>
    <w:p w:rsidR="00A06B77" w:rsidRDefault="00A06B77" w:rsidP="00A06B77">
      <w:pPr>
        <w:jc w:val="right"/>
        <w:rPr>
          <w:b/>
        </w:rPr>
      </w:pPr>
      <w:r>
        <w:rPr>
          <w:b/>
        </w:rPr>
        <w:t>УТВЕРЖДАЮ:</w:t>
      </w:r>
      <w:r>
        <w:t xml:space="preserve">                                                                                                                                                Главный врач</w:t>
      </w:r>
    </w:p>
    <w:p w:rsidR="00A06B77" w:rsidRDefault="00A06B77" w:rsidP="00A06B77">
      <w:pPr>
        <w:jc w:val="right"/>
      </w:pPr>
      <w:r>
        <w:t xml:space="preserve">ГБУЗ </w:t>
      </w:r>
      <w:proofErr w:type="gramStart"/>
      <w:r>
        <w:t>СО</w:t>
      </w:r>
      <w:proofErr w:type="gramEnd"/>
      <w:r>
        <w:t xml:space="preserve"> «Карпинская центральная городская больница»</w:t>
      </w:r>
    </w:p>
    <w:p w:rsidR="00A06B77" w:rsidRDefault="00A06B77" w:rsidP="00A06B77">
      <w:pPr>
        <w:jc w:val="right"/>
      </w:pPr>
      <w:r>
        <w:t xml:space="preserve">_________ Е.В. </w:t>
      </w:r>
      <w:proofErr w:type="spellStart"/>
      <w:r>
        <w:t>Штах</w:t>
      </w:r>
      <w:proofErr w:type="spellEnd"/>
      <w:r>
        <w:t xml:space="preserve">                                                                                                                                                                                                                                                                                                                    </w:t>
      </w:r>
    </w:p>
    <w:p w:rsidR="00A06B77" w:rsidRDefault="00A06B77" w:rsidP="00A06B77">
      <w:pPr>
        <w:pStyle w:val="ac"/>
        <w:spacing w:before="0" w:beforeAutospacing="0" w:after="0" w:afterAutospacing="0"/>
        <w:jc w:val="center"/>
      </w:pPr>
      <w:r>
        <w:t xml:space="preserve">                                                                                                                                 «31» мая 2019г.</w:t>
      </w:r>
    </w:p>
    <w:p w:rsidR="00A06B77" w:rsidRDefault="00A06B77" w:rsidP="00C60564">
      <w:pPr>
        <w:pStyle w:val="ac"/>
        <w:spacing w:before="0" w:beforeAutospacing="0" w:after="0" w:afterAutospacing="0"/>
        <w:jc w:val="center"/>
        <w:rPr>
          <w:b/>
        </w:rPr>
      </w:pPr>
    </w:p>
    <w:p w:rsidR="00A06B77" w:rsidRDefault="00A06B77" w:rsidP="00C60564">
      <w:pPr>
        <w:pStyle w:val="ac"/>
        <w:spacing w:before="0" w:beforeAutospacing="0" w:after="0" w:afterAutospacing="0"/>
        <w:jc w:val="center"/>
        <w:rPr>
          <w:b/>
        </w:rPr>
      </w:pPr>
    </w:p>
    <w:p w:rsidR="00A06B77" w:rsidRDefault="00A06B77" w:rsidP="00C60564">
      <w:pPr>
        <w:pStyle w:val="ac"/>
        <w:spacing w:before="0" w:beforeAutospacing="0" w:after="0" w:afterAutospacing="0"/>
        <w:jc w:val="center"/>
        <w:rPr>
          <w:b/>
        </w:rPr>
      </w:pPr>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п/п</w:t>
            </w:r>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10000 анти-Ха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89202F" w:rsidP="00732FA2">
            <w:pPr>
              <w:pStyle w:val="afff6"/>
              <w:spacing w:line="20" w:lineRule="atLeast"/>
              <w:jc w:val="center"/>
              <w:rPr>
                <w:rFonts w:ascii="Times New Roman" w:hAnsi="Times New Roman"/>
              </w:rPr>
            </w:pPr>
            <w:r>
              <w:rPr>
                <w:rFonts w:ascii="Times New Roman" w:hAnsi="Times New Roman"/>
              </w:rPr>
              <w:t>2000</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Наличие в лекарственном препарате наркотических средств, психотропных веществ и их прекурсоров:</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1"/>
    <w:bookmarkEnd w:id="2"/>
    <w:bookmarkEnd w:id="3"/>
    <w:bookmarkEnd w:id="4"/>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9202F"/>
    <w:rsid w:val="008B6BE8"/>
    <w:rsid w:val="008C1E67"/>
    <w:rsid w:val="008C6E48"/>
    <w:rsid w:val="008E23A3"/>
    <w:rsid w:val="009148DD"/>
    <w:rsid w:val="00914F33"/>
    <w:rsid w:val="00930A5E"/>
    <w:rsid w:val="009331BF"/>
    <w:rsid w:val="00941B60"/>
    <w:rsid w:val="009528AB"/>
    <w:rsid w:val="009555C1"/>
    <w:rsid w:val="009573A6"/>
    <w:rsid w:val="009D358A"/>
    <w:rsid w:val="009F23A7"/>
    <w:rsid w:val="00A05275"/>
    <w:rsid w:val="00A06B77"/>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2640F"/>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r="http://schemas.openxmlformats.org/officeDocument/2006/relationships" xmlns:w="http://schemas.openxmlformats.org/wordprocessingml/2006/main">
  <w:divs>
    <w:div w:id="88040770">
      <w:bodyDiv w:val="1"/>
      <w:marLeft w:val="0"/>
      <w:marRight w:val="0"/>
      <w:marTop w:val="0"/>
      <w:marBottom w:val="0"/>
      <w:divBdr>
        <w:top w:val="none" w:sz="0" w:space="0" w:color="auto"/>
        <w:left w:val="none" w:sz="0" w:space="0" w:color="auto"/>
        <w:bottom w:val="none" w:sz="0" w:space="0" w:color="auto"/>
        <w:right w:val="none" w:sz="0" w:space="0" w:color="auto"/>
      </w:divBdr>
    </w:div>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7A08-438D-4954-9902-1DAF335B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KRPB-ADM-ZAK-2</cp:lastModifiedBy>
  <cp:revision>3</cp:revision>
  <cp:lastPrinted>2018-03-12T07:10:00Z</cp:lastPrinted>
  <dcterms:created xsi:type="dcterms:W3CDTF">2019-05-24T07:58:00Z</dcterms:created>
  <dcterms:modified xsi:type="dcterms:W3CDTF">2019-06-03T13:21:00Z</dcterms:modified>
</cp:coreProperties>
</file>