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P="00BD628A">
      <w:pPr>
        <w:autoSpaceDE w:val="0"/>
        <w:autoSpaceDN w:val="0"/>
        <w:adjustRightInd w:val="0"/>
        <w:spacing w:after="0" w:line="240" w:lineRule="auto"/>
        <w:rPr>
          <w:rFonts w:ascii="Liberation Serif" w:hAnsi="Liberation Serif" w:cs="Liberation Serif"/>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
        <w:gridCol w:w="1708"/>
        <w:gridCol w:w="814"/>
        <w:gridCol w:w="814"/>
        <w:gridCol w:w="946"/>
        <w:gridCol w:w="2930"/>
        <w:gridCol w:w="2409"/>
        <w:gridCol w:w="2552"/>
        <w:gridCol w:w="2635"/>
      </w:tblGrid>
      <w:tr w:rsidTr="00A82061">
        <w:tblPrEx>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580" w:type="dxa"/>
            <w:vAlign w:val="center"/>
          </w:tcPr>
          <w:p w:rsidR="008A2479"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w:t>
            </w:r>
          </w:p>
          <w:p w:rsidR="008A2479"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п/п</w:t>
            </w:r>
          </w:p>
        </w:tc>
        <w:tc>
          <w:tcPr>
            <w:tcW w:w="1708" w:type="dxa"/>
            <w:vAlign w:val="center"/>
          </w:tcPr>
          <w:p w:rsidR="008A2479" w:rsidRPr="008A2479" w:rsidP="00B15E9F">
            <w:pPr>
              <w:jc w:val="center"/>
              <w:rPr>
                <w:sz w:val="20"/>
                <w:szCs w:val="20"/>
              </w:rPr>
            </w:pPr>
            <w:r w:rsidRPr="008A2479">
              <w:rPr>
                <w:rFonts w:ascii="Liberation Serif" w:hAnsi="Liberation Serif" w:cs="Liberation Serif"/>
                <w:sz w:val="20"/>
                <w:szCs w:val="20"/>
              </w:rPr>
              <w:t>Наименование товара</w:t>
            </w:r>
            <w:r>
              <w:rPr>
                <w:rStyle w:val="FootnoteReference"/>
                <w:rFonts w:ascii="Liberation Serif" w:hAnsi="Liberation Serif" w:cs="Liberation Serif"/>
                <w:sz w:val="20"/>
                <w:szCs w:val="20"/>
              </w:rPr>
              <w:footnoteReference w:id="2"/>
            </w:r>
          </w:p>
        </w:tc>
        <w:tc>
          <w:tcPr>
            <w:tcW w:w="814" w:type="dxa"/>
          </w:tcPr>
          <w:p w:rsidR="008A2479" w:rsidRPr="008A2479" w:rsidP="00B15E9F">
            <w:pPr>
              <w:autoSpaceDE w:val="0"/>
              <w:spacing w:after="0"/>
              <w:jc w:val="center"/>
              <w:rPr>
                <w:rFonts w:ascii="Liberation Serif" w:hAnsi="Liberation Serif" w:cs="Liberation Serif"/>
                <w:sz w:val="20"/>
                <w:szCs w:val="20"/>
              </w:rPr>
            </w:pPr>
            <w:r w:rsidRPr="001B604F">
              <w:rPr>
                <w:rFonts w:ascii="Liberation Serif" w:hAnsi="Liberation Serif" w:cs="Liberation Serif"/>
                <w:sz w:val="20"/>
                <w:szCs w:val="20"/>
              </w:rPr>
              <w:t>Товарный знак</w:t>
            </w:r>
          </w:p>
        </w:tc>
        <w:tc>
          <w:tcPr>
            <w:tcW w:w="814" w:type="dxa"/>
            <w:vAlign w:val="center"/>
          </w:tcPr>
          <w:p w:rsidR="008A2479" w:rsidRPr="008A2479" w:rsidP="00B15E9F">
            <w:pPr>
              <w:autoSpaceDE w:val="0"/>
              <w:spacing w:after="0"/>
              <w:jc w:val="center"/>
              <w:rPr>
                <w:rFonts w:ascii="Liberation Serif" w:hAnsi="Liberation Serif" w:cs="Liberation Serif"/>
                <w:sz w:val="20"/>
                <w:szCs w:val="20"/>
              </w:rPr>
            </w:pPr>
            <w:r w:rsidRPr="008A2479">
              <w:rPr>
                <w:rFonts w:ascii="Liberation Serif" w:hAnsi="Liberation Serif" w:cs="Liberation Serif"/>
                <w:sz w:val="20"/>
                <w:szCs w:val="20"/>
              </w:rPr>
              <w:t xml:space="preserve">Ед. </w:t>
            </w:r>
          </w:p>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rPr>
            </w:pPr>
            <w:r w:rsidRPr="008A2479">
              <w:rPr>
                <w:rFonts w:ascii="Liberation Serif" w:hAnsi="Liberation Serif" w:cs="Liberation Serif"/>
                <w:sz w:val="20"/>
                <w:szCs w:val="20"/>
              </w:rPr>
              <w:t>изм.</w:t>
            </w:r>
          </w:p>
        </w:tc>
        <w:tc>
          <w:tcPr>
            <w:tcW w:w="946" w:type="dxa"/>
            <w:vAlign w:val="center"/>
          </w:tcPr>
          <w:p w:rsidR="008A2479" w:rsidRPr="008A2479" w:rsidP="00B15E9F">
            <w:pPr>
              <w:autoSpaceDE w:val="0"/>
              <w:spacing w:after="0"/>
              <w:jc w:val="center"/>
              <w:rPr>
                <w:rFonts w:ascii="Liberation Serif" w:hAnsi="Liberation Serif" w:cs="Liberation Serif"/>
                <w:sz w:val="20"/>
                <w:szCs w:val="20"/>
              </w:rPr>
            </w:pPr>
            <w:r w:rsidRPr="008A2479">
              <w:rPr>
                <w:rFonts w:ascii="Liberation Serif" w:hAnsi="Liberation Serif" w:cs="Liberation Serif"/>
                <w:sz w:val="20"/>
                <w:szCs w:val="20"/>
              </w:rPr>
              <w:t>Кол-во</w:t>
            </w:r>
          </w:p>
        </w:tc>
        <w:tc>
          <w:tcPr>
            <w:tcW w:w="2930" w:type="dxa"/>
            <w:vAlign w:val="center"/>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rPr>
            </w:pPr>
            <w:r w:rsidRPr="008A2479">
              <w:rPr>
                <w:rFonts w:ascii="Liberation Serif" w:hAnsi="Liberation Serif" w:cs="Liberation Serif"/>
                <w:sz w:val="20"/>
                <w:szCs w:val="20"/>
              </w:rPr>
              <w:t xml:space="preserve">Наименование показателя </w:t>
            </w:r>
            <w:r>
              <w:rPr>
                <w:rStyle w:val="FootnoteReference"/>
                <w:rFonts w:ascii="Liberation Serif" w:hAnsi="Liberation Serif" w:cs="Liberation Serif"/>
                <w:sz w:val="20"/>
                <w:szCs w:val="20"/>
              </w:rPr>
              <w:footnoteReference w:id="3"/>
            </w:r>
          </w:p>
        </w:tc>
        <w:tc>
          <w:tcPr>
            <w:tcW w:w="2409" w:type="dxa"/>
            <w:vAlign w:val="center"/>
          </w:tcPr>
          <w:p w:rsidR="008A2479" w:rsidRPr="008A2479" w:rsidP="00B15E9F">
            <w:pPr>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Содержание (значение) показателя</w:t>
            </w:r>
            <w:r>
              <w:rPr>
                <w:rStyle w:val="FootnoteReference"/>
                <w:rFonts w:ascii="Liberation Serif" w:hAnsi="Liberation Serif" w:cs="Liberation Serif"/>
                <w:sz w:val="20"/>
                <w:szCs w:val="20"/>
              </w:rPr>
              <w:footnoteReference w:id="4"/>
            </w:r>
          </w:p>
        </w:tc>
        <w:tc>
          <w:tcPr>
            <w:tcW w:w="2552" w:type="dxa"/>
          </w:tcPr>
          <w:p w:rsidR="008A2479" w:rsidRPr="008A2479" w:rsidP="00B15E9F">
            <w:pPr>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Обоснование использования характеристик</w:t>
            </w:r>
            <w:r>
              <w:rPr>
                <w:rStyle w:val="FootnoteReference"/>
                <w:rFonts w:ascii="Liberation Serif" w:hAnsi="Liberation Serif" w:cs="Liberation Serif"/>
                <w:sz w:val="20"/>
                <w:szCs w:val="20"/>
              </w:rPr>
              <w:footnoteReference w:id="5"/>
            </w:r>
          </w:p>
        </w:tc>
        <w:tc>
          <w:tcPr>
            <w:tcW w:w="2635" w:type="dxa"/>
          </w:tcPr>
          <w:p w:rsidR="008A2479" w:rsidRPr="008A2479" w:rsidP="00B15E9F">
            <w:pPr>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Инструкция участнику закупки по формированию предложения</w:t>
            </w:r>
          </w:p>
        </w:tc>
      </w:tr>
      <w:tr w:rsidTr="001B604F">
        <w:tblPrEx>
          <w:tblW w:w="15388" w:type="dxa"/>
          <w:tblLayout w:type="fixed"/>
          <w:tblLook w:val="0000"/>
        </w:tblPrEx>
        <w:trPr>
          <w:trHeight w:val="408"/>
        </w:trPr>
        <w:tc>
          <w:tcPr>
            <w:tcW w:w="580" w:type="dxa"/>
          </w:tcPr>
          <w:p w:rsidR="008A2479"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rPr>
              <w:t>1</w:t>
            </w:r>
          </w:p>
        </w:tc>
        <w:tc>
          <w:tcPr>
            <w:tcW w:w="1708" w:type="dxa"/>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rPr>
            </w:pPr>
            <w:r w:rsidRPr="008A2479">
              <w:rPr>
                <w:rFonts w:ascii="Liberation Serif" w:hAnsi="Liberation Serif" w:cs="Liberation Serif"/>
                <w:noProof/>
                <w:sz w:val="20"/>
                <w:szCs w:val="20"/>
              </w:rPr>
              <w:t>Комплект модернизации</w:t>
            </w:r>
            <w:r w:rsidRPr="008A2479">
              <w:rPr>
                <w:rFonts w:ascii="Liberation Serif" w:hAnsi="Liberation Serif" w:cs="Liberation Serif"/>
                <w:noProof/>
                <w:sz w:val="20"/>
                <w:szCs w:val="20"/>
              </w:rPr>
              <w:t xml:space="preserve"> СХД</w:t>
            </w:r>
          </w:p>
        </w:tc>
        <w:tc>
          <w:tcPr>
            <w:tcW w:w="814" w:type="dxa"/>
          </w:tcPr>
          <w:p w:rsidR="008A2479" w:rsidP="00B15E9F">
            <w:pPr>
              <w:autoSpaceDE w:val="0"/>
              <w:autoSpaceDN w:val="0"/>
              <w:adjustRightInd w:val="0"/>
              <w:spacing w:after="0" w:line="240" w:lineRule="auto"/>
              <w:jc w:val="center"/>
              <w:rPr>
                <w:rFonts w:ascii="Liberation Serif" w:hAnsi="Liberation Serif" w:cs="Liberation Serif"/>
                <w:noProof/>
                <w:sz w:val="20"/>
                <w:szCs w:val="20"/>
              </w:rPr>
            </w:pPr>
            <w:r>
              <w:rPr>
                <w:rFonts w:ascii="Liberation Serif" w:hAnsi="Liberation Serif" w:cs="Liberation Serif"/>
                <w:noProof/>
                <w:sz w:val="20"/>
                <w:szCs w:val="20"/>
              </w:rPr>
              <w:t>YADRO TATLIN</w:t>
            </w:r>
            <w:r>
              <w:rPr>
                <w:rFonts w:ascii="Liberation Serif" w:hAnsi="Liberation Serif" w:cs="Liberation Serif"/>
                <w:noProof/>
                <w:sz w:val="20"/>
                <w:szCs w:val="20"/>
              </w:rPr>
              <w:t>.UNIFIED gen2</w:t>
            </w:r>
          </w:p>
          <w:p w:rsidR="00195569" w:rsidRPr="008A2479" w:rsidP="00195569">
            <w:pPr>
              <w:autoSpaceDE w:val="0"/>
              <w:autoSpaceDN w:val="0"/>
              <w:adjustRightInd w:val="0"/>
              <w:spacing w:after="0" w:line="240" w:lineRule="auto"/>
              <w:jc w:val="center"/>
              <w:rPr>
                <w:rFonts w:ascii="Liberation Serif" w:hAnsi="Liberation Serif" w:cs="Liberation Serif"/>
                <w:noProof/>
                <w:sz w:val="20"/>
                <w:szCs w:val="20"/>
              </w:rPr>
            </w:pPr>
          </w:p>
        </w:tc>
        <w:tc>
          <w:tcPr>
            <w:tcW w:w="814" w:type="dxa"/>
          </w:tcPr>
          <w:p w:rsidR="008A2479" w:rsidRPr="008A2479" w:rsidP="00B15E9F">
            <w:pPr>
              <w:autoSpaceDE w:val="0"/>
              <w:autoSpaceDN w:val="0"/>
              <w:adjustRightInd w:val="0"/>
              <w:spacing w:after="0" w:line="240" w:lineRule="auto"/>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rPr>
              <w:t>ШТ</w:t>
            </w:r>
          </w:p>
        </w:tc>
        <w:tc>
          <w:tcPr>
            <w:tcW w:w="946" w:type="dxa"/>
          </w:tcPr>
          <w:p w:rsidR="008A2479" w:rsidRPr="008A2479" w:rsidP="00B15E9F">
            <w:pPr>
              <w:autoSpaceDE w:val="0"/>
              <w:autoSpaceDN w:val="0"/>
              <w:adjustRightInd w:val="0"/>
              <w:spacing w:after="0" w:line="240" w:lineRule="auto"/>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rPr>
              <w:t>1.00</w:t>
            </w:r>
          </w:p>
        </w:tc>
        <w:tc>
          <w:tcPr>
            <w:tcW w:w="10526" w:type="dxa"/>
            <w:gridSpan w:val="4"/>
            <w:tcMar>
              <w:left w:w="0" w:type="dxa"/>
              <w:right w:w="0" w:type="dxa"/>
            </w:tcMar>
          </w:tcPr>
          <w:tbl>
            <w:tblPr>
              <w:tblW w:w="10518" w:type="dxa"/>
              <w:tblBorders>
                <w:insideH w:val="single" w:sz="4" w:space="0" w:color="auto"/>
                <w:insideV w:val="single" w:sz="4" w:space="0" w:color="auto"/>
              </w:tblBorders>
              <w:tblLayout w:type="fixed"/>
              <w:tblLook w:val="0000"/>
            </w:tblPr>
            <w:tblGrid>
              <w:gridCol w:w="2924"/>
              <w:gridCol w:w="2409"/>
              <w:gridCol w:w="2552"/>
              <w:gridCol w:w="2633"/>
            </w:tblGrid>
            <w:tr w:rsidTr="00A82061">
              <w:tblPrEx>
                <w:tblW w:w="10518" w:type="dxa"/>
                <w:tblBorders>
                  <w:insideH w:val="single" w:sz="4" w:space="0" w:color="auto"/>
                  <w:insideV w:val="single" w:sz="4" w:space="0" w:color="auto"/>
                </w:tblBorders>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Высота модуля</w:t>
                  </w:r>
                  <w:r w:rsidRPr="008A2479">
                    <w:rPr>
                      <w:rFonts w:ascii="Liberation Serif" w:hAnsi="Liberation Serif" w:cs="Liberation Serif"/>
                      <w:noProof/>
                      <w:sz w:val="20"/>
                      <w:szCs w:val="20"/>
                      <w:lang w:val="en-US"/>
                    </w:rPr>
                    <w:t xml:space="preserve"> расширения, Юнит</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 4</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Максимальное количество</w:t>
                  </w:r>
                  <w:r w:rsidRPr="008A2479">
                    <w:rPr>
                      <w:rFonts w:ascii="Liberation Serif" w:hAnsi="Liberation Serif" w:cs="Liberation Serif"/>
                      <w:noProof/>
                      <w:sz w:val="20"/>
                      <w:szCs w:val="20"/>
                      <w:lang w:val="en-US"/>
                    </w:rPr>
                    <w:t xml:space="preserve"> носителей возможное к установке в модуль расширения</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 96</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lang w:val="en-US"/>
                    </w:rPr>
                    <w:t>ШТ</w:t>
                  </w: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lang w:val="en-US"/>
                    </w:rPr>
                    <w:t>Штука</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Форм-фактор устанавливаемых</w:t>
                  </w:r>
                  <w:r w:rsidRPr="008A2479">
                    <w:rPr>
                      <w:rFonts w:ascii="Liberation Serif" w:hAnsi="Liberation Serif" w:cs="Liberation Serif"/>
                      <w:noProof/>
                      <w:sz w:val="20"/>
                      <w:szCs w:val="20"/>
                      <w:lang w:val="en-US"/>
                    </w:rPr>
                    <w:t xml:space="preserve"> в модуль расширения носителей</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2.5</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lang w:val="en-US"/>
                    </w:rPr>
                    <w:t>ДЮЙМ</w:t>
                  </w: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lang w:val="en-US"/>
                    </w:rPr>
                    <w:t>Дюйм (</w:t>
                  </w:r>
                  <w:r w:rsidRPr="008A2479">
                    <w:rPr>
                      <w:rFonts w:ascii="Liberation Serif" w:hAnsi="Liberation Serif" w:cs="Liberation Serif"/>
                      <w:noProof/>
                      <w:sz w:val="20"/>
                      <w:szCs w:val="20"/>
                      <w:lang w:val="en-US"/>
                    </w:rPr>
                    <w:t>25,4 мм)</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Интерфейсы подключения</w:t>
                  </w:r>
                  <w:r w:rsidRPr="008A2479">
                    <w:rPr>
                      <w:rFonts w:ascii="Liberation Serif" w:hAnsi="Liberation Serif" w:cs="Liberation Serif"/>
                      <w:noProof/>
                      <w:sz w:val="20"/>
                      <w:szCs w:val="20"/>
                      <w:lang w:val="en-US"/>
                    </w:rPr>
                    <w:t xml:space="preserve"> модуля расширения к системе хранения данных</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SAS 3.0</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Количество интерфейсов</w:t>
                  </w:r>
                  <w:r w:rsidRPr="008A2479">
                    <w:rPr>
                      <w:rFonts w:ascii="Liberation Serif" w:hAnsi="Liberation Serif" w:cs="Liberation Serif"/>
                      <w:noProof/>
                      <w:sz w:val="20"/>
                      <w:szCs w:val="20"/>
                      <w:lang w:val="en-US"/>
                    </w:rPr>
                    <w:t xml:space="preserve"> модуля расширения для подключения к системе хранения данных</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 4</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lang w:val="en-US"/>
                    </w:rPr>
                    <w:t>ШТ</w:t>
                  </w: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lang w:val="en-US"/>
                    </w:rPr>
                    <w:t>Штука</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Наличие устройства</w:t>
                  </w:r>
                  <w:r w:rsidRPr="008A2479">
                    <w:rPr>
                      <w:rFonts w:ascii="Liberation Serif" w:hAnsi="Liberation Serif" w:cs="Liberation Serif"/>
                      <w:noProof/>
                      <w:sz w:val="20"/>
                      <w:szCs w:val="20"/>
                      <w:lang w:val="en-US"/>
                    </w:rPr>
                    <w:t xml:space="preserve"> для укладки кабелей</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Да</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Наличие направляющих</w:t>
                  </w:r>
                  <w:r w:rsidRPr="008A2479">
                    <w:rPr>
                      <w:rFonts w:ascii="Liberation Serif" w:hAnsi="Liberation Serif" w:cs="Liberation Serif"/>
                      <w:noProof/>
                      <w:sz w:val="20"/>
                      <w:szCs w:val="20"/>
                      <w:lang w:val="en-US"/>
                    </w:rPr>
                    <w:t xml:space="preserve"> для установки в шкаф телекоммуникационный</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Да</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Количество установленных</w:t>
                  </w:r>
                  <w:r w:rsidRPr="008A2479">
                    <w:rPr>
                      <w:rFonts w:ascii="Liberation Serif" w:hAnsi="Liberation Serif" w:cs="Liberation Serif"/>
                      <w:noProof/>
                      <w:sz w:val="20"/>
                      <w:szCs w:val="20"/>
                      <w:lang w:val="en-US"/>
                    </w:rPr>
                    <w:t xml:space="preserve"> блоков питания</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 2</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lang w:val="en-US"/>
                    </w:rPr>
                    <w:t>ШТ</w:t>
                  </w: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lang w:val="en-US"/>
                    </w:rPr>
                    <w:t>Штука</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Количество установленных</w:t>
                  </w:r>
                  <w:r w:rsidRPr="008A2479">
                    <w:rPr>
                      <w:rFonts w:ascii="Liberation Serif" w:hAnsi="Liberation Serif" w:cs="Liberation Serif"/>
                      <w:noProof/>
                      <w:sz w:val="20"/>
                      <w:szCs w:val="20"/>
                      <w:lang w:val="en-US"/>
                    </w:rPr>
                    <w:t xml:space="preserve"> блоков питания с поддержкой горячей замены</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 2</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lang w:val="en-US"/>
                    </w:rPr>
                    <w:t>ШТ</w:t>
                  </w: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lang w:val="en-US"/>
                    </w:rPr>
                    <w:t>Штука</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Уровень резервирования</w:t>
                  </w:r>
                  <w:r w:rsidRPr="008A2479">
                    <w:rPr>
                      <w:rFonts w:ascii="Liberation Serif" w:hAnsi="Liberation Serif" w:cs="Liberation Serif"/>
                      <w:noProof/>
                      <w:sz w:val="20"/>
                      <w:szCs w:val="20"/>
                      <w:lang w:val="en-US"/>
                    </w:rPr>
                    <w:t xml:space="preserve"> установленных блоков питания</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N+1</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Номинальная мощность</w:t>
                  </w:r>
                  <w:r w:rsidRPr="008A2479">
                    <w:rPr>
                      <w:rFonts w:ascii="Liberation Serif" w:hAnsi="Liberation Serif" w:cs="Liberation Serif"/>
                      <w:noProof/>
                      <w:sz w:val="20"/>
                      <w:szCs w:val="20"/>
                      <w:lang w:val="en-US"/>
                    </w:rPr>
                    <w:t xml:space="preserve"> одного блока питания</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 2000</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lang w:val="en-US"/>
                    </w:rPr>
                    <w:t>ВТ</w:t>
                  </w: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lang w:val="en-US"/>
                    </w:rPr>
                    <w:t>Ватт</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Тип корпуса</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Rack</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Количество установленных</w:t>
                  </w:r>
                  <w:r w:rsidRPr="008A2479">
                    <w:rPr>
                      <w:rFonts w:ascii="Liberation Serif" w:hAnsi="Liberation Serif" w:cs="Liberation Serif"/>
                      <w:noProof/>
                      <w:sz w:val="20"/>
                      <w:szCs w:val="20"/>
                      <w:lang w:val="en-US"/>
                    </w:rPr>
                    <w:t xml:space="preserve"> накопителей</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 30</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lang w:val="en-US"/>
                    </w:rPr>
                    <w:t>ШТ</w:t>
                  </w: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lang w:val="en-US"/>
                    </w:rPr>
                    <w:t>Штука</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Тип накопителя</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SSD</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объем накопителя</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 1600</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lang w:val="en-US"/>
                    </w:rPr>
                    <w:t>ГБАЙТ</w:t>
                  </w: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lang w:val="en-US"/>
                    </w:rPr>
                    <w:t>Гигабайт</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Интерфейс накопителя</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SAS</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Ресурс на</w:t>
                  </w:r>
                  <w:r w:rsidRPr="008A2479">
                    <w:rPr>
                      <w:rFonts w:ascii="Liberation Serif" w:hAnsi="Liberation Serif" w:cs="Liberation Serif"/>
                      <w:noProof/>
                      <w:sz w:val="20"/>
                      <w:szCs w:val="20"/>
                      <w:lang w:val="en-US"/>
                    </w:rPr>
                    <w:t xml:space="preserve"> запись дисков SSD - количество перезаписей всего объема накопителя в день (DWPD)</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 3</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noProof/>
                      <w:sz w:val="20"/>
                      <w:szCs w:val="20"/>
                      <w:lang w:val="en-US"/>
                    </w:rPr>
                    <w:t>С целью</w:t>
                  </w:r>
                  <w:r w:rsidRPr="008A2479">
                    <w:rPr>
                      <w:rFonts w:ascii="Liberation Serif" w:hAnsi="Liberation Serif" w:cs="Liberation Serif"/>
                      <w:i/>
                      <w:iCs/>
                      <w:noProof/>
                      <w:sz w:val="20"/>
                      <w:szCs w:val="20"/>
                      <w:lang w:val="en-US"/>
                    </w:rPr>
                    <w:t xml:space="preserve"> обеспечения стабильной и надежной работы серверного (вычислительного оборудования), высокоскоростного доступа к обрабатываемым и хранимым данным в системе хранения данных, для максимального и эффективного использования дискового пространства и увеличения срока жизни дисковых накопителей, для организации катастрофоустойчивой инфраструктуры без необходимости использования дополнительного оборудования</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bl>
          <w:p w:rsidR="008A2479" w:rsidRPr="008A2479" w:rsidP="00B15E9F">
            <w:pPr>
              <w:autoSpaceDE w:val="0"/>
              <w:autoSpaceDN w:val="0"/>
              <w:adjustRightInd w:val="0"/>
              <w:spacing w:after="0" w:line="240" w:lineRule="auto"/>
              <w:rPr>
                <w:rFonts w:ascii="Liberation Serif" w:hAnsi="Liberation Serif" w:cs="Liberation Serif"/>
                <w:i/>
                <w:sz w:val="20"/>
                <w:szCs w:val="20"/>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8A2479" w:rsidP="008A2479">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8A2479" w:rsidP="008A2479">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8A2479" w:rsidP="008A2479">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8A2479" w:rsidP="008A2479">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