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Pr="003579D0" w:rsidRDefault="00370F90" w:rsidP="00D7294E">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Эноксапарин</w:t>
      </w:r>
      <w:proofErr w:type="spellEnd"/>
      <w:r>
        <w:rPr>
          <w:rFonts w:ascii="Times New Roman" w:hAnsi="Times New Roman" w:cs="Times New Roman"/>
          <w:sz w:val="24"/>
          <w:szCs w:val="24"/>
        </w:rPr>
        <w:t xml:space="preserve"> натрия,  0,4 мл</w:t>
      </w:r>
    </w:p>
    <w:p w:rsidR="00E142A6" w:rsidRPr="003579D0" w:rsidRDefault="00E142A6" w:rsidP="003579D0">
      <w:pPr>
        <w:pStyle w:val="ConsPlusNormal"/>
        <w:jc w:val="both"/>
        <w:outlineLvl w:val="0"/>
        <w:rPr>
          <w:rFonts w:ascii="Times New Roman" w:hAnsi="Times New Roman" w:cs="Times New Roman"/>
          <w:sz w:val="24"/>
          <w:szCs w:val="24"/>
        </w:rPr>
      </w:pPr>
    </w:p>
    <w:p w:rsidR="00E142A6" w:rsidRPr="003579D0" w:rsidRDefault="00370F90" w:rsidP="003579D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п. Тугулым            </w:t>
      </w:r>
      <w:r w:rsidR="00E142A6" w:rsidRPr="00370F90">
        <w:rPr>
          <w:rFonts w:ascii="Times New Roman" w:hAnsi="Times New Roman" w:cs="Times New Roman"/>
          <w:sz w:val="24"/>
          <w:szCs w:val="24"/>
        </w:rPr>
        <w:t xml:space="preserve">                                     </w:t>
      </w:r>
      <w:r w:rsidR="00E142A6" w:rsidRPr="00370F90">
        <w:rPr>
          <w:rFonts w:ascii="Times New Roman" w:hAnsi="Times New Roman" w:cs="Times New Roman"/>
          <w:sz w:val="24"/>
          <w:szCs w:val="24"/>
        </w:rPr>
        <w:tab/>
      </w:r>
      <w:r w:rsidR="00E142A6" w:rsidRPr="00370F90">
        <w:rPr>
          <w:rFonts w:ascii="Times New Roman" w:hAnsi="Times New Roman" w:cs="Times New Roman"/>
          <w:sz w:val="24"/>
          <w:szCs w:val="24"/>
        </w:rPr>
        <w:tab/>
      </w:r>
      <w:r w:rsidR="00E142A6" w:rsidRPr="00370F90">
        <w:rPr>
          <w:rFonts w:ascii="Times New Roman" w:hAnsi="Times New Roman" w:cs="Times New Roman"/>
          <w:sz w:val="24"/>
          <w:szCs w:val="24"/>
        </w:rPr>
        <w:tab/>
      </w:r>
      <w:r w:rsidR="00E142A6" w:rsidRPr="00370F90">
        <w:rPr>
          <w:rFonts w:ascii="Times New Roman" w:hAnsi="Times New Roman" w:cs="Times New Roman"/>
          <w:sz w:val="24"/>
          <w:szCs w:val="24"/>
        </w:rPr>
        <w:tab/>
      </w:r>
      <w:r>
        <w:rPr>
          <w:rFonts w:ascii="Times New Roman" w:hAnsi="Times New Roman" w:cs="Times New Roman"/>
          <w:sz w:val="24"/>
          <w:szCs w:val="24"/>
        </w:rPr>
        <w:t xml:space="preserve">                   </w:t>
      </w:r>
      <w:r w:rsidR="00E142A6" w:rsidRPr="00370F90">
        <w:rPr>
          <w:rFonts w:ascii="Times New Roman" w:hAnsi="Times New Roman" w:cs="Times New Roman"/>
          <w:sz w:val="24"/>
          <w:szCs w:val="24"/>
        </w:rPr>
        <w:t xml:space="preserve">«__» _________ </w:t>
      </w:r>
      <w:r w:rsidR="003579D0" w:rsidRPr="00370F90">
        <w:rPr>
          <w:rFonts w:ascii="Times New Roman" w:hAnsi="Times New Roman" w:cs="Times New Roman"/>
          <w:sz w:val="24"/>
          <w:szCs w:val="24"/>
        </w:rPr>
        <w:t>201</w:t>
      </w:r>
      <w:r w:rsidR="006F3327" w:rsidRPr="00370F90">
        <w:rPr>
          <w:rFonts w:ascii="Times New Roman" w:hAnsi="Times New Roman" w:cs="Times New Roman"/>
          <w:sz w:val="24"/>
          <w:szCs w:val="24"/>
        </w:rPr>
        <w:t>9</w:t>
      </w:r>
      <w:r w:rsidR="00E142A6" w:rsidRPr="00370F90">
        <w:rPr>
          <w:rFonts w:ascii="Times New Roman" w:hAnsi="Times New Roman" w:cs="Times New Roman"/>
          <w:sz w:val="24"/>
          <w:szCs w:val="24"/>
        </w:rPr>
        <w:t xml:space="preserve"> г</w:t>
      </w:r>
      <w:r w:rsidR="00E142A6" w:rsidRPr="003579D0">
        <w:rPr>
          <w:rFonts w:ascii="Times New Roman" w:hAnsi="Times New Roman" w:cs="Times New Roman"/>
          <w:sz w:val="24"/>
          <w:szCs w:val="24"/>
        </w:rPr>
        <w:t>.</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370F90" w:rsidP="003579D0">
      <w:pPr>
        <w:pStyle w:val="ConsPlusNormal"/>
        <w:ind w:firstLine="540"/>
        <w:jc w:val="both"/>
        <w:rPr>
          <w:rFonts w:ascii="Times New Roman" w:hAnsi="Times New Roman" w:cs="Times New Roman"/>
          <w:sz w:val="24"/>
          <w:szCs w:val="24"/>
        </w:rPr>
      </w:pPr>
      <w:proofErr w:type="gramStart"/>
      <w:r w:rsidRPr="00370F90">
        <w:rPr>
          <w:rFonts w:ascii="Times New Roman" w:hAnsi="Times New Roman" w:cs="Times New Roman"/>
          <w:b/>
          <w:sz w:val="24"/>
          <w:szCs w:val="24"/>
        </w:rPr>
        <w:t>Государственное бюджетное учреждение здравоохранения Свердловской области «Тугулымская центральная районная больница»</w:t>
      </w:r>
      <w:r w:rsidR="00E142A6" w:rsidRPr="003579D0">
        <w:rPr>
          <w:rFonts w:ascii="Times New Roman" w:hAnsi="Times New Roman" w:cs="Times New Roman"/>
          <w:sz w:val="24"/>
          <w:szCs w:val="24"/>
        </w:rPr>
        <w:t>, именуемое в дальнейшем «Заказчик», в лице</w:t>
      </w:r>
      <w:r>
        <w:rPr>
          <w:rFonts w:ascii="Times New Roman" w:hAnsi="Times New Roman" w:cs="Times New Roman"/>
          <w:sz w:val="24"/>
          <w:szCs w:val="24"/>
        </w:rPr>
        <w:t xml:space="preserve"> исполняющей обязанности главного врача </w:t>
      </w:r>
      <w:proofErr w:type="spellStart"/>
      <w:r>
        <w:rPr>
          <w:rFonts w:ascii="Times New Roman" w:hAnsi="Times New Roman" w:cs="Times New Roman"/>
          <w:sz w:val="24"/>
          <w:szCs w:val="24"/>
        </w:rPr>
        <w:t>Титарь</w:t>
      </w:r>
      <w:proofErr w:type="spellEnd"/>
      <w:r>
        <w:rPr>
          <w:rFonts w:ascii="Times New Roman" w:hAnsi="Times New Roman" w:cs="Times New Roman"/>
          <w:sz w:val="24"/>
          <w:szCs w:val="24"/>
        </w:rPr>
        <w:t xml:space="preserve"> Елены Анатольевны, действующей</w:t>
      </w:r>
      <w:r w:rsidR="00E142A6" w:rsidRPr="003579D0">
        <w:rPr>
          <w:rFonts w:ascii="Times New Roman" w:hAnsi="Times New Roman" w:cs="Times New Roman"/>
          <w:sz w:val="24"/>
          <w:szCs w:val="24"/>
        </w:rPr>
        <w:t xml:space="preserve"> на основании</w:t>
      </w:r>
      <w:r>
        <w:rPr>
          <w:rFonts w:ascii="Times New Roman" w:hAnsi="Times New Roman" w:cs="Times New Roman"/>
          <w:sz w:val="24"/>
          <w:szCs w:val="24"/>
        </w:rPr>
        <w:t xml:space="preserve"> Устава</w:t>
      </w:r>
      <w:r w:rsidR="00E142A6"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w:t>
      </w:r>
      <w:proofErr w:type="gramEnd"/>
      <w:r w:rsidR="00E142A6" w:rsidRPr="003579D0">
        <w:rPr>
          <w:rFonts w:ascii="Times New Roman" w:hAnsi="Times New Roman" w:cs="Times New Roman"/>
          <w:sz w:val="24"/>
          <w:szCs w:val="24"/>
        </w:rPr>
        <w:t xml:space="preserve"> </w:t>
      </w:r>
      <w:proofErr w:type="gramStart"/>
      <w:r w:rsidR="00E142A6" w:rsidRPr="003579D0">
        <w:rPr>
          <w:rFonts w:ascii="Times New Roman" w:hAnsi="Times New Roman" w:cs="Times New Roman"/>
          <w:sz w:val="24"/>
          <w:szCs w:val="24"/>
        </w:rPr>
        <w:t>в сфере закупок 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w:t>
      </w:r>
      <w:r w:rsidR="002E7090">
        <w:rPr>
          <w:rFonts w:ascii="Times New Roman" w:hAnsi="Times New Roman" w:cs="Times New Roman"/>
          <w:sz w:val="24"/>
          <w:szCs w:val="24"/>
        </w:rPr>
        <w:t xml:space="preserve"> </w:t>
      </w:r>
      <w:r w:rsidR="002E7090" w:rsidRPr="002E7090">
        <w:rPr>
          <w:rFonts w:ascii="Times New Roman" w:hAnsi="Times New Roman" w:cs="Times New Roman"/>
          <w:sz w:val="24"/>
          <w:szCs w:val="24"/>
        </w:rPr>
        <w:t>192665500065166330100100100252120000</w:t>
      </w:r>
      <w:r w:rsidR="009B5F29">
        <w:rPr>
          <w:rFonts w:ascii="Times New Roman" w:hAnsi="Times New Roman" w:cs="Times New Roman"/>
          <w:sz w:val="24"/>
          <w:szCs w:val="24"/>
        </w:rPr>
        <w:t>)</w:t>
      </w:r>
      <w:r w:rsidR="00E142A6"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roofErr w:type="gramEnd"/>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едицинского применения</w:t>
      </w:r>
      <w:r w:rsidR="00370F90">
        <w:rPr>
          <w:rFonts w:ascii="Times New Roman" w:hAnsi="Times New Roman" w:cs="Times New Roman"/>
          <w:sz w:val="24"/>
          <w:szCs w:val="24"/>
        </w:rPr>
        <w:t xml:space="preserve"> </w:t>
      </w:r>
      <w:proofErr w:type="spellStart"/>
      <w:r w:rsidR="00370F90" w:rsidRPr="00370F90">
        <w:rPr>
          <w:rFonts w:ascii="Times New Roman" w:hAnsi="Times New Roman" w:cs="Times New Roman"/>
          <w:sz w:val="24"/>
          <w:szCs w:val="24"/>
        </w:rPr>
        <w:t>Эноксапарин</w:t>
      </w:r>
      <w:proofErr w:type="spellEnd"/>
      <w:r w:rsidR="00370F90" w:rsidRPr="00370F90">
        <w:rPr>
          <w:rFonts w:ascii="Times New Roman" w:hAnsi="Times New Roman" w:cs="Times New Roman"/>
          <w:sz w:val="24"/>
          <w:szCs w:val="24"/>
        </w:rPr>
        <w:t xml:space="preserve"> натрия,  0,4 мл</w:t>
      </w:r>
      <w:r w:rsidR="003579D0" w:rsidRPr="003579D0">
        <w:rPr>
          <w:rFonts w:ascii="Times New Roman" w:hAnsi="Times New Roman" w:cs="Times New Roman"/>
          <w:sz w:val="24"/>
          <w:szCs w:val="24"/>
        </w:rPr>
        <w:t xml:space="preserve"> </w:t>
      </w:r>
      <w:r w:rsidRPr="008C3BAC">
        <w:rPr>
          <w:rFonts w:ascii="Times New Roman" w:hAnsi="Times New Roman" w:cs="Times New Roman"/>
          <w:sz w:val="24"/>
          <w:szCs w:val="24"/>
        </w:rPr>
        <w:t xml:space="preserve">(код </w:t>
      </w:r>
      <w:hyperlink r:id="rId9" w:history="1">
        <w:r w:rsidRPr="008C3BAC">
          <w:rPr>
            <w:rFonts w:ascii="Times New Roman" w:hAnsi="Times New Roman" w:cs="Times New Roman"/>
            <w:sz w:val="24"/>
            <w:szCs w:val="24"/>
          </w:rPr>
          <w:t>ОКПД</w:t>
        </w:r>
        <w:proofErr w:type="gramStart"/>
        <w:r w:rsidRPr="008C3BAC">
          <w:rPr>
            <w:rFonts w:ascii="Times New Roman" w:hAnsi="Times New Roman" w:cs="Times New Roman"/>
            <w:sz w:val="24"/>
            <w:szCs w:val="24"/>
          </w:rPr>
          <w:t>2</w:t>
        </w:r>
        <w:proofErr w:type="gramEnd"/>
      </w:hyperlink>
      <w:r w:rsidR="00370F90">
        <w:t xml:space="preserve"> </w:t>
      </w:r>
      <w:r w:rsidR="00370F90" w:rsidRPr="00370F90">
        <w:rPr>
          <w:rFonts w:ascii="Times New Roman" w:hAnsi="Times New Roman" w:cs="Times New Roman"/>
          <w:sz w:val="24"/>
          <w:szCs w:val="24"/>
        </w:rPr>
        <w:t>21.20.10.131</w:t>
      </w:r>
      <w:r w:rsidRPr="008C3BAC">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370F90" w:rsidRPr="000A1153" w:rsidRDefault="00D90892" w:rsidP="00370F90">
      <w:pPr>
        <w:pStyle w:val="ConsPlusNormal"/>
        <w:ind w:firstLine="540"/>
        <w:jc w:val="both"/>
        <w:rPr>
          <w:rFonts w:ascii="Times New Roman" w:hAnsi="Times New Roman" w:cs="Times New Roman"/>
          <w:sz w:val="24"/>
          <w:szCs w:val="24"/>
        </w:rPr>
      </w:pPr>
      <w:bookmarkStart w:id="0" w:name="P12"/>
      <w:bookmarkEnd w:id="0"/>
      <w:r w:rsidRPr="003579D0">
        <w:rPr>
          <w:rFonts w:ascii="Times New Roman" w:hAnsi="Times New Roman" w:cs="Times New Roman"/>
          <w:sz w:val="24"/>
          <w:szCs w:val="24"/>
        </w:rPr>
        <w:t xml:space="preserve">1.3. </w:t>
      </w:r>
      <w:r w:rsidR="00370F90" w:rsidRPr="000A1153">
        <w:rPr>
          <w:rFonts w:ascii="Times New Roman" w:hAnsi="Times New Roman" w:cs="Times New Roman"/>
          <w:sz w:val="24"/>
          <w:szCs w:val="24"/>
        </w:rPr>
        <w:t>Поставка Товара осуществляется с разгрузкой транспортного средства в течение 2019 года с момента заключения контракта. По заявке Заказчика, в течение 5 рабочих дней с момента получения заявки от Заказчика с момента заключения Контракта, в следующем порядке:</w:t>
      </w:r>
    </w:p>
    <w:p w:rsidR="00370F90" w:rsidRPr="004A3474" w:rsidRDefault="00370F90" w:rsidP="00370F90">
      <w:pPr>
        <w:pStyle w:val="ConsPlusNormal"/>
        <w:ind w:firstLine="540"/>
        <w:jc w:val="both"/>
        <w:rPr>
          <w:rFonts w:ascii="Times New Roman" w:hAnsi="Times New Roman" w:cs="Times New Roman"/>
          <w:sz w:val="24"/>
          <w:szCs w:val="24"/>
        </w:rPr>
      </w:pPr>
      <w:r w:rsidRPr="000A1153">
        <w:rPr>
          <w:rFonts w:ascii="Times New Roman" w:hAnsi="Times New Roman" w:cs="Times New Roman"/>
          <w:sz w:val="24"/>
          <w:szCs w:val="24"/>
        </w:rPr>
        <w:t>Поставщик доставляет Товар (</w:t>
      </w:r>
      <w:proofErr w:type="spellStart"/>
      <w:r w:rsidR="00031F5B" w:rsidRPr="00031F5B">
        <w:rPr>
          <w:rFonts w:ascii="Times New Roman" w:hAnsi="Times New Roman" w:cs="Times New Roman"/>
          <w:sz w:val="24"/>
          <w:szCs w:val="24"/>
        </w:rPr>
        <w:t>Эноксапарин</w:t>
      </w:r>
      <w:proofErr w:type="spellEnd"/>
      <w:r w:rsidR="00031F5B" w:rsidRPr="00031F5B">
        <w:rPr>
          <w:rFonts w:ascii="Times New Roman" w:hAnsi="Times New Roman" w:cs="Times New Roman"/>
          <w:sz w:val="24"/>
          <w:szCs w:val="24"/>
        </w:rPr>
        <w:t xml:space="preserve"> натрия,  0,4 мл</w:t>
      </w:r>
      <w:r w:rsidRPr="000A1153">
        <w:rPr>
          <w:rFonts w:ascii="Times New Roman" w:hAnsi="Times New Roman" w:cs="Times New Roman"/>
          <w:sz w:val="24"/>
          <w:szCs w:val="24"/>
        </w:rPr>
        <w:t xml:space="preserve">) по адресу: </w:t>
      </w:r>
      <w:proofErr w:type="gramStart"/>
      <w:r w:rsidRPr="000A1153">
        <w:rPr>
          <w:rFonts w:ascii="Times New Roman" w:hAnsi="Times New Roman" w:cs="Times New Roman"/>
          <w:sz w:val="24"/>
          <w:szCs w:val="24"/>
        </w:rPr>
        <w:t>Свердловская область,  п. Тугулым, ул. Школьная, 30, контактное лицо – Буряк Вера Владимировна, тел. 8-34367-21440.</w:t>
      </w:r>
      <w:proofErr w:type="gramEnd"/>
    </w:p>
    <w:p w:rsidR="009E4664" w:rsidRDefault="009E4664" w:rsidP="009E4664">
      <w:pPr>
        <w:pStyle w:val="ConsPlusNormal"/>
        <w:jc w:val="both"/>
        <w:rPr>
          <w:rFonts w:ascii="Times New Roman" w:hAnsi="Times New Roman" w:cs="Times New Roman"/>
          <w:sz w:val="24"/>
          <w:szCs w:val="24"/>
        </w:rPr>
      </w:pPr>
    </w:p>
    <w:p w:rsidR="00370F90" w:rsidRPr="003579D0" w:rsidRDefault="00370F90"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w:t>
      </w:r>
      <w:r w:rsidRPr="003579D0">
        <w:rPr>
          <w:rFonts w:ascii="Times New Roman" w:hAnsi="Times New Roman" w:cs="Times New Roman"/>
          <w:sz w:val="24"/>
          <w:szCs w:val="24"/>
        </w:rPr>
        <w:lastRenderedPageBreak/>
        <w:t>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1" w:name="P30"/>
      <w:bookmarkEnd w:id="1"/>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370F90">
        <w:rPr>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2" w:name="P39"/>
      <w:bookmarkEnd w:id="2"/>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 xml:space="preserve">3.4.5. требовать от Поставщика устранения недостатков, допущенных при исполнении </w:t>
      </w:r>
      <w:r w:rsidRPr="003579D0">
        <w:rPr>
          <w:rFonts w:ascii="Times New Roman" w:hAnsi="Times New Roman" w:cs="Times New Roman"/>
          <w:sz w:val="24"/>
          <w:szCs w:val="24"/>
        </w:rPr>
        <w:lastRenderedPageBreak/>
        <w:t>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4.1. Упаковка и маркировка Товара должны соответствовать требованиям законодательства Российской Федерации,</w:t>
      </w:r>
      <w:r w:rsidR="002E7090">
        <w:rPr>
          <w:rFonts w:ascii="Times New Roman" w:hAnsi="Times New Roman" w:cs="Times New Roman"/>
          <w:sz w:val="24"/>
          <w:szCs w:val="24"/>
        </w:rPr>
        <w:t xml:space="preserve"> </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2E7090"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Ящик/контейнер №</w:t>
      </w:r>
      <w:r w:rsidR="009E4664" w:rsidRPr="003579D0">
        <w:rPr>
          <w:rFonts w:ascii="Times New Roman" w:hAnsi="Times New Roman" w:cs="Times New Roman"/>
          <w:sz w:val="24"/>
          <w:szCs w:val="24"/>
        </w:rPr>
        <w:t xml:space="preserve">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5.1. Поставка Товара осуществляется Поставщиком </w:t>
      </w:r>
      <w:proofErr w:type="gramStart"/>
      <w:r w:rsidRPr="003579D0">
        <w:rPr>
          <w:rFonts w:ascii="Times New Roman" w:hAnsi="Times New Roman" w:cs="Times New Roman"/>
          <w:sz w:val="24"/>
          <w:szCs w:val="24"/>
        </w:rPr>
        <w:t>в Место доставки</w:t>
      </w:r>
      <w:proofErr w:type="gramEnd"/>
      <w:r w:rsidRPr="003579D0">
        <w:rPr>
          <w:rFonts w:ascii="Times New Roman" w:hAnsi="Times New Roman" w:cs="Times New Roman"/>
          <w:sz w:val="24"/>
          <w:szCs w:val="24"/>
        </w:rPr>
        <w:t xml:space="preserve">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3" w:name="P96"/>
      <w:bookmarkEnd w:id="3"/>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proofErr w:type="gramStart"/>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113"/>
      <w:bookmarkEnd w:id="4"/>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4"/>
      <w:bookmarkEnd w:id="5"/>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lastRenderedPageBreak/>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9.1. Оплата по Контракту осуществляется за</w:t>
      </w:r>
      <w:r w:rsidR="002E7090">
        <w:rPr>
          <w:rFonts w:ascii="Times New Roman" w:hAnsi="Times New Roman" w:cs="Times New Roman"/>
          <w:sz w:val="24"/>
          <w:szCs w:val="24"/>
        </w:rPr>
        <w:t xml:space="preserve"> с</w:t>
      </w:r>
      <w:r w:rsidR="002E7090" w:rsidRPr="002E7090">
        <w:rPr>
          <w:rFonts w:ascii="Times New Roman" w:hAnsi="Times New Roman" w:cs="Times New Roman"/>
          <w:sz w:val="24"/>
          <w:szCs w:val="24"/>
        </w:rPr>
        <w:t>редства бюджетных учреждений, внебюджетные средства, средства фонда</w:t>
      </w:r>
      <w:r w:rsidR="004A3474">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42"/>
      <w:bookmarkEnd w:id="6"/>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3"/>
      <w:bookmarkEnd w:id="7"/>
      <w:r w:rsidRPr="003579D0">
        <w:rPr>
          <w:rFonts w:ascii="Times New Roman" w:hAnsi="Times New Roman" w:cs="Times New Roman"/>
          <w:sz w:val="24"/>
          <w:szCs w:val="24"/>
        </w:rPr>
        <w:lastRenderedPageBreak/>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д)</w:t>
      </w:r>
      <w:bookmarkStart w:id="8" w:name="P148"/>
      <w:bookmarkEnd w:id="8"/>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w:t>
      </w:r>
      <w:bookmarkStart w:id="9" w:name="_GoBack"/>
      <w:bookmarkEnd w:id="9"/>
      <w:r w:rsidRPr="003579D0">
        <w:rPr>
          <w:rFonts w:ascii="Times New Roman" w:hAnsi="Times New Roman" w:cs="Times New Roman"/>
          <w:sz w:val="24"/>
          <w:szCs w:val="24"/>
        </w:rPr>
        <w:t xml:space="preserve">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BD2C0F">
        <w:rPr>
          <w:rFonts w:ascii="Times New Roman" w:hAnsi="Times New Roman" w:cs="Times New Roman"/>
          <w:sz w:val="24"/>
          <w:szCs w:val="24"/>
        </w:rPr>
        <w:t>10</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sidR="009E4664">
        <w:rPr>
          <w:rFonts w:ascii="Times New Roman" w:hAnsi="Times New Roman" w:cs="Times New Roman"/>
          <w:sz w:val="24"/>
          <w:szCs w:val="24"/>
        </w:rPr>
        <w:t>приложение № 6</w:t>
      </w:r>
      <w:r w:rsidR="006436D6">
        <w:rPr>
          <w:rFonts w:ascii="Times New Roman" w:hAnsi="Times New Roman" w:cs="Times New Roman"/>
          <w:sz w:val="24"/>
          <w:szCs w:val="24"/>
        </w:rPr>
        <w:t xml:space="preserve"> </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E142A6" w:rsidRPr="003579D0" w:rsidRDefault="00E142A6" w:rsidP="003579D0">
      <w:pPr>
        <w:pStyle w:val="ConsPlusNormal"/>
        <w:ind w:firstLine="540"/>
        <w:jc w:val="both"/>
        <w:rPr>
          <w:rFonts w:ascii="Times New Roman" w:hAnsi="Times New Roman" w:cs="Times New Roman"/>
          <w:sz w:val="24"/>
          <w:szCs w:val="24"/>
        </w:rPr>
      </w:pPr>
      <w:bookmarkStart w:id="10" w:name="P178"/>
      <w:bookmarkEnd w:id="10"/>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1" w:name="P180"/>
      <w:bookmarkEnd w:id="11"/>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w:t>
      </w:r>
      <w:r w:rsidRPr="003579D0">
        <w:rPr>
          <w:rFonts w:ascii="Times New Roman" w:hAnsi="Times New Roman" w:cs="Times New Roman"/>
          <w:sz w:val="24"/>
          <w:szCs w:val="24"/>
        </w:rPr>
        <w:lastRenderedPageBreak/>
        <w:t xml:space="preserve">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2" w:name="P205"/>
      <w:bookmarkEnd w:id="12"/>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BD2C0F">
        <w:rPr>
          <w:rFonts w:ascii="Times New Roman" w:hAnsi="Times New Roman" w:cs="Times New Roman"/>
          <w:sz w:val="24"/>
          <w:szCs w:val="24"/>
        </w:rPr>
        <w:t>753,80</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lastRenderedPageBreak/>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12.1. Контра</w:t>
      </w:r>
      <w:proofErr w:type="gramStart"/>
      <w:r w:rsidRPr="003579D0">
        <w:rPr>
          <w:rFonts w:ascii="Times New Roman" w:hAnsi="Times New Roman" w:cs="Times New Roman"/>
          <w:sz w:val="24"/>
          <w:szCs w:val="24"/>
        </w:rPr>
        <w:t>кт вст</w:t>
      </w:r>
      <w:proofErr w:type="gramEnd"/>
      <w:r w:rsidRPr="003579D0">
        <w:rPr>
          <w:rFonts w:ascii="Times New Roman" w:hAnsi="Times New Roman" w:cs="Times New Roman"/>
          <w:sz w:val="24"/>
          <w:szCs w:val="24"/>
        </w:rPr>
        <w:t xml:space="preserve">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w:t>
      </w:r>
      <w:r w:rsidR="00161BF8" w:rsidRPr="00BD2C0F">
        <w:rPr>
          <w:rFonts w:ascii="Times New Roman" w:hAnsi="Times New Roman" w:cs="Times New Roman"/>
          <w:b/>
          <w:i/>
          <w:sz w:val="24"/>
          <w:szCs w:val="24"/>
        </w:rPr>
        <w:t>до</w:t>
      </w:r>
      <w:r w:rsidR="00BD2C0F" w:rsidRPr="00BD2C0F">
        <w:rPr>
          <w:rFonts w:ascii="Times New Roman" w:hAnsi="Times New Roman" w:cs="Times New Roman"/>
          <w:b/>
          <w:i/>
          <w:sz w:val="24"/>
          <w:szCs w:val="24"/>
        </w:rPr>
        <w:t xml:space="preserve"> 31.12.2019 года</w:t>
      </w:r>
      <w:r w:rsidRPr="00BD2C0F">
        <w:rPr>
          <w:rFonts w:ascii="Times New Roman" w:hAnsi="Times New Roman" w:cs="Times New Roman"/>
          <w:sz w:val="24"/>
          <w:szCs w:val="24"/>
        </w:rPr>
        <w:t>.</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12.3. </w:t>
      </w:r>
      <w:proofErr w:type="gramStart"/>
      <w:r w:rsidRPr="003579D0">
        <w:rPr>
          <w:rFonts w:ascii="Times New Roman" w:hAnsi="Times New Roman" w:cs="Times New Roman"/>
          <w:sz w:val="24"/>
          <w:szCs w:val="24"/>
        </w:rPr>
        <w:t>Контракт</w:t>
      </w:r>
      <w:proofErr w:type="gramEnd"/>
      <w:r w:rsidRPr="003579D0">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448AC" w:rsidRPr="009448AC" w:rsidRDefault="009448AC"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Для казенных учреждений включается следующий пункт Контракта:</w:t>
      </w:r>
    </w:p>
    <w:p w:rsidR="00E142A6" w:rsidRPr="009448AC" w:rsidRDefault="00E142A6"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sidRPr="009448AC">
        <w:rPr>
          <w:rFonts w:ascii="Times New Roman" w:hAnsi="Times New Roman" w:cs="Times New Roman"/>
          <w:sz w:val="24"/>
          <w:szCs w:val="24"/>
        </w:rPr>
        <w:t xml:space="preserve"> пунктом 6 статьи 161</w:t>
      </w:r>
      <w:r w:rsidRPr="009448AC">
        <w:rPr>
          <w:rFonts w:ascii="Times New Roman" w:hAnsi="Times New Roman" w:cs="Times New Roman"/>
          <w:sz w:val="24"/>
          <w:szCs w:val="24"/>
        </w:rPr>
        <w:t xml:space="preserve"> Бюджетн</w:t>
      </w:r>
      <w:r w:rsidR="003F7348" w:rsidRPr="009448AC">
        <w:rPr>
          <w:rFonts w:ascii="Times New Roman" w:hAnsi="Times New Roman" w:cs="Times New Roman"/>
          <w:sz w:val="24"/>
          <w:szCs w:val="24"/>
        </w:rPr>
        <w:t>ого кодекса Российской Федерации</w:t>
      </w:r>
      <w:r w:rsidRPr="009448AC">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031F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3579D0" w:rsidTr="009448AC">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9C0AFB" w:rsidRPr="003579D0" w:rsidRDefault="009E4664" w:rsidP="00BD2C0F">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BD2C0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93ED7" w:rsidRPr="003611E1" w:rsidTr="00393ED7">
        <w:tc>
          <w:tcPr>
            <w:tcW w:w="4955"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Заказчик:</w:t>
            </w:r>
          </w:p>
        </w:tc>
        <w:tc>
          <w:tcPr>
            <w:tcW w:w="4956"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393ED7" w:rsidRPr="00393ED7" w:rsidTr="00393ED7">
        <w:tc>
          <w:tcPr>
            <w:tcW w:w="4955" w:type="dxa"/>
          </w:tcPr>
          <w:p w:rsidR="00393ED7" w:rsidRPr="00393ED7" w:rsidRDefault="00393ED7" w:rsidP="00D90892">
            <w:pPr>
              <w:jc w:val="both"/>
              <w:rPr>
                <w:rFonts w:ascii="Times New Roman" w:hAnsi="Times New Roman" w:cs="Times New Roman"/>
                <w:sz w:val="24"/>
                <w:szCs w:val="24"/>
              </w:rPr>
            </w:pPr>
          </w:p>
        </w:tc>
        <w:tc>
          <w:tcPr>
            <w:tcW w:w="4956" w:type="dxa"/>
          </w:tcPr>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393ED7" w:rsidRPr="00393ED7" w:rsidTr="00393ED7">
        <w:tc>
          <w:tcPr>
            <w:tcW w:w="4955" w:type="dxa"/>
          </w:tcPr>
          <w:p w:rsidR="00D47678" w:rsidRDefault="00D47678"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C71C13" w:rsidRDefault="00C71C13"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10"/>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firstRow="1" w:lastRow="0" w:firstColumn="1" w:lastColumn="0" w:noHBand="0" w:noVBand="1"/>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gramStart"/>
            <w:r w:rsidRPr="00685DC0">
              <w:rPr>
                <w:rFonts w:ascii="Times New Roman" w:hAnsi="Times New Roman" w:cs="Times New Roman"/>
                <w:sz w:val="16"/>
                <w:szCs w:val="16"/>
              </w:rPr>
              <w:t>п</w:t>
            </w:r>
            <w:proofErr w:type="gramEnd"/>
            <w:r w:rsidRPr="00685DC0">
              <w:rPr>
                <w:rFonts w:ascii="Times New Roman" w:hAnsi="Times New Roman" w:cs="Times New Roman"/>
                <w:sz w:val="16"/>
                <w:szCs w:val="16"/>
              </w:rPr>
              <w:t xml:space="preserve">/п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1"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2"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E4664" w:rsidRPr="00393ED7" w:rsidTr="009E4664">
        <w:tc>
          <w:tcPr>
            <w:tcW w:w="4955"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BD2C0F"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ГБУЗ СО «Тугулымская ЦРБ»</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Сальдо </w:t>
      </w:r>
      <w:proofErr w:type="gramStart"/>
      <w:r w:rsidRPr="00811369">
        <w:rPr>
          <w:rFonts w:ascii="Times New Roman" w:hAnsi="Times New Roman" w:cs="Times New Roman"/>
          <w:sz w:val="24"/>
          <w:szCs w:val="24"/>
        </w:rPr>
        <w:t>на</w:t>
      </w:r>
      <w:proofErr w:type="gramEnd"/>
      <w:r w:rsidRPr="00811369">
        <w:rPr>
          <w:rFonts w:ascii="Times New Roman" w:hAnsi="Times New Roman" w:cs="Times New Roman"/>
          <w:sz w:val="24"/>
          <w:szCs w:val="24"/>
        </w:rPr>
        <w:t xml:space="preserve">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9C0AFB" w:rsidRPr="003579D0" w:rsidRDefault="009C0AFB" w:rsidP="003579D0">
      <w:pPr>
        <w:spacing w:after="0" w:line="240" w:lineRule="auto"/>
        <w:rPr>
          <w:rFonts w:ascii="Times New Roman" w:hAnsi="Times New Roman" w:cs="Times New Roman"/>
          <w:sz w:val="24"/>
          <w:szCs w:val="24"/>
        </w:rPr>
      </w:pPr>
    </w:p>
    <w:sectPr w:rsidR="009C0AFB" w:rsidRPr="003579D0"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9E" w:rsidRDefault="002D639E" w:rsidP="00DA3083">
      <w:pPr>
        <w:spacing w:after="0" w:line="240" w:lineRule="auto"/>
      </w:pPr>
      <w:r>
        <w:separator/>
      </w:r>
    </w:p>
  </w:endnote>
  <w:endnote w:type="continuationSeparator" w:id="0">
    <w:p w:rsidR="002D639E" w:rsidRDefault="002D639E"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938"/>
      <w:docPartObj>
        <w:docPartGallery w:val="Page Numbers (Bottom of Page)"/>
        <w:docPartUnique/>
      </w:docPartObj>
    </w:sdtPr>
    <w:sdtEndPr/>
    <w:sdtContent>
      <w:p w:rsidR="00370F90" w:rsidRDefault="00370F90">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157EE2">
          <w:rPr>
            <w:rFonts w:ascii="Times New Roman" w:hAnsi="Times New Roman" w:cs="Times New Roman"/>
            <w:noProof/>
          </w:rPr>
          <w:t>17</w:t>
        </w:r>
        <w:r w:rsidRPr="00524F6A">
          <w:rPr>
            <w:rFonts w:ascii="Times New Roman" w:hAnsi="Times New Roman" w:cs="Times New Roman"/>
          </w:rPr>
          <w:fldChar w:fldCharType="end"/>
        </w:r>
      </w:p>
    </w:sdtContent>
  </w:sdt>
  <w:p w:rsidR="00370F90" w:rsidRDefault="00370F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9E" w:rsidRDefault="002D639E" w:rsidP="00DA3083">
      <w:pPr>
        <w:spacing w:after="0" w:line="240" w:lineRule="auto"/>
      </w:pPr>
      <w:r>
        <w:separator/>
      </w:r>
    </w:p>
  </w:footnote>
  <w:footnote w:type="continuationSeparator" w:id="0">
    <w:p w:rsidR="002D639E" w:rsidRDefault="002D639E" w:rsidP="00DA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A6"/>
    <w:rsid w:val="000139AC"/>
    <w:rsid w:val="00031F5B"/>
    <w:rsid w:val="000343A3"/>
    <w:rsid w:val="00037578"/>
    <w:rsid w:val="00053982"/>
    <w:rsid w:val="000E19DC"/>
    <w:rsid w:val="00125DC5"/>
    <w:rsid w:val="001269A4"/>
    <w:rsid w:val="00154364"/>
    <w:rsid w:val="0015464C"/>
    <w:rsid w:val="001551F6"/>
    <w:rsid w:val="00157EE2"/>
    <w:rsid w:val="00161BF8"/>
    <w:rsid w:val="001B132C"/>
    <w:rsid w:val="001B1824"/>
    <w:rsid w:val="001C5912"/>
    <w:rsid w:val="001E1F78"/>
    <w:rsid w:val="001E6C56"/>
    <w:rsid w:val="001F74EC"/>
    <w:rsid w:val="002567C6"/>
    <w:rsid w:val="0029056F"/>
    <w:rsid w:val="00295C87"/>
    <w:rsid w:val="002A6E4A"/>
    <w:rsid w:val="002D639E"/>
    <w:rsid w:val="002E7090"/>
    <w:rsid w:val="003170D8"/>
    <w:rsid w:val="00325C60"/>
    <w:rsid w:val="00356FAE"/>
    <w:rsid w:val="003579D0"/>
    <w:rsid w:val="00370F90"/>
    <w:rsid w:val="00393ED7"/>
    <w:rsid w:val="003B2BD7"/>
    <w:rsid w:val="003C562C"/>
    <w:rsid w:val="003E3602"/>
    <w:rsid w:val="003F7348"/>
    <w:rsid w:val="003F7C9F"/>
    <w:rsid w:val="00405732"/>
    <w:rsid w:val="00420372"/>
    <w:rsid w:val="00436BED"/>
    <w:rsid w:val="00477B07"/>
    <w:rsid w:val="004838EC"/>
    <w:rsid w:val="004A3474"/>
    <w:rsid w:val="004A464E"/>
    <w:rsid w:val="004C3A4E"/>
    <w:rsid w:val="004E50CF"/>
    <w:rsid w:val="00517790"/>
    <w:rsid w:val="00524F6A"/>
    <w:rsid w:val="0052573C"/>
    <w:rsid w:val="005554E1"/>
    <w:rsid w:val="0055698F"/>
    <w:rsid w:val="00584C9C"/>
    <w:rsid w:val="005E1DEA"/>
    <w:rsid w:val="005F5FC0"/>
    <w:rsid w:val="006145B4"/>
    <w:rsid w:val="0063380C"/>
    <w:rsid w:val="006436D6"/>
    <w:rsid w:val="00675B16"/>
    <w:rsid w:val="006822A8"/>
    <w:rsid w:val="00687C2F"/>
    <w:rsid w:val="00696674"/>
    <w:rsid w:val="006A78E1"/>
    <w:rsid w:val="006B1608"/>
    <w:rsid w:val="006B6029"/>
    <w:rsid w:val="006C62A6"/>
    <w:rsid w:val="006C710A"/>
    <w:rsid w:val="006F3327"/>
    <w:rsid w:val="0070563B"/>
    <w:rsid w:val="0074482C"/>
    <w:rsid w:val="00747AFE"/>
    <w:rsid w:val="00781BB0"/>
    <w:rsid w:val="007B4374"/>
    <w:rsid w:val="007D46A9"/>
    <w:rsid w:val="00856A70"/>
    <w:rsid w:val="0089607E"/>
    <w:rsid w:val="00896131"/>
    <w:rsid w:val="008C3BAC"/>
    <w:rsid w:val="008D44FC"/>
    <w:rsid w:val="008D791C"/>
    <w:rsid w:val="009014CA"/>
    <w:rsid w:val="009448AC"/>
    <w:rsid w:val="009725C6"/>
    <w:rsid w:val="00993416"/>
    <w:rsid w:val="009A2A37"/>
    <w:rsid w:val="009B2EDC"/>
    <w:rsid w:val="009B5F29"/>
    <w:rsid w:val="009C0AFB"/>
    <w:rsid w:val="009C5DA6"/>
    <w:rsid w:val="009D201B"/>
    <w:rsid w:val="009D5C47"/>
    <w:rsid w:val="009D7F15"/>
    <w:rsid w:val="009E4664"/>
    <w:rsid w:val="00A36955"/>
    <w:rsid w:val="00A533B1"/>
    <w:rsid w:val="00A56E61"/>
    <w:rsid w:val="00A668A6"/>
    <w:rsid w:val="00A96BC8"/>
    <w:rsid w:val="00AA3619"/>
    <w:rsid w:val="00AC1773"/>
    <w:rsid w:val="00B1445D"/>
    <w:rsid w:val="00B5055E"/>
    <w:rsid w:val="00B5424F"/>
    <w:rsid w:val="00B9370E"/>
    <w:rsid w:val="00BB7523"/>
    <w:rsid w:val="00BC2660"/>
    <w:rsid w:val="00BD2C0F"/>
    <w:rsid w:val="00BE7F98"/>
    <w:rsid w:val="00BF5CA1"/>
    <w:rsid w:val="00C316CF"/>
    <w:rsid w:val="00C55E85"/>
    <w:rsid w:val="00C66E4C"/>
    <w:rsid w:val="00C71C13"/>
    <w:rsid w:val="00C91725"/>
    <w:rsid w:val="00CD4F8A"/>
    <w:rsid w:val="00D16FCB"/>
    <w:rsid w:val="00D2465A"/>
    <w:rsid w:val="00D36EF8"/>
    <w:rsid w:val="00D430E8"/>
    <w:rsid w:val="00D47678"/>
    <w:rsid w:val="00D7294E"/>
    <w:rsid w:val="00D754CD"/>
    <w:rsid w:val="00D77BCD"/>
    <w:rsid w:val="00D90892"/>
    <w:rsid w:val="00DA3083"/>
    <w:rsid w:val="00DA4920"/>
    <w:rsid w:val="00DB77A7"/>
    <w:rsid w:val="00DE4E32"/>
    <w:rsid w:val="00E142A6"/>
    <w:rsid w:val="00E331A8"/>
    <w:rsid w:val="00E41B80"/>
    <w:rsid w:val="00F065BA"/>
    <w:rsid w:val="00F22CAF"/>
    <w:rsid w:val="00F26169"/>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104E86FB96E831668B822CB7849306E514742ABFE7400E47AF405A1ED6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04E86FB96E831668B823CF6B49306E544A41ABF3775DEE72AD09A3D7EA6DH"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98FDE2AED51B9B91E3D1F76084981D29058DEE48C01A8802290C2B06FHFC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5EC4-C783-4CC1-902C-66DFD346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6390</Words>
  <Characters>36427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Елена</cp:lastModifiedBy>
  <cp:revision>9</cp:revision>
  <cp:lastPrinted>2019-06-17T06:16:00Z</cp:lastPrinted>
  <dcterms:created xsi:type="dcterms:W3CDTF">2019-05-21T06:24:00Z</dcterms:created>
  <dcterms:modified xsi:type="dcterms:W3CDTF">2019-06-17T06:16:00Z</dcterms:modified>
</cp:coreProperties>
</file>