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00184" w:rsidRPr="00E5163D" w:rsidP="00A00184">
      <w:pPr>
        <w:tabs>
          <w:tab w:val="left" w:pos="43"/>
          <w:tab w:val="left" w:pos="681"/>
        </w:tabs>
        <w:autoSpaceDE w:val="0"/>
        <w:autoSpaceDN w:val="0"/>
        <w:adjustRightInd w:val="0"/>
        <w:jc w:val="center"/>
        <w:rPr>
          <w:rFonts w:ascii="Liberation Serif" w:hAnsi="Liberation Serif" w:cs="Liberation Serif"/>
          <w:szCs w:val="24"/>
        </w:rPr>
      </w:pPr>
    </w:p>
    <w:p w:rsidR="00FE6BC2" w:rsidP="00AC1FC6">
      <w:pPr>
        <w:spacing w:after="0"/>
        <w:jc w:val="center"/>
        <w:rPr>
          <w:rFonts w:ascii="Liberation Serif" w:hAnsi="Liberation Serif" w:cs="Liberation Serif"/>
          <w:b/>
          <w:szCs w:val="24"/>
        </w:rPr>
      </w:pPr>
      <w:bookmarkStart w:id="0" w:name="P210"/>
      <w:bookmarkEnd w:id="0"/>
      <w:r>
        <w:rPr>
          <w:rFonts w:ascii="Liberation Serif" w:hAnsi="Liberation Serif" w:cs="Liberation Serif"/>
          <w:b/>
          <w:szCs w:val="24"/>
        </w:rPr>
        <w:t>Описание объекта закупки</w:t>
      </w:r>
    </w:p>
    <w:p w:rsidR="00FE6BC2" w:rsidP="00FE6BC2">
      <w:pPr>
        <w:spacing w:after="0"/>
        <w:ind w:firstLine="709"/>
        <w:jc w:val="center"/>
        <w:rPr>
          <w:rFonts w:ascii="Liberation Serif" w:hAnsi="Liberation Serif" w:cs="Liberation Serif"/>
          <w:b/>
          <w:szCs w:val="24"/>
        </w:rPr>
      </w:pPr>
    </w:p>
    <w:p w:rsidR="00FE6BC2" w:rsidRPr="00AC1FC6" w:rsidP="00FE6BC2">
      <w:pPr>
        <w:pStyle w:val="ConsPlusNormal"/>
        <w:jc w:val="center"/>
        <w:rPr>
          <w:rFonts w:ascii="Liberation Serif" w:eastAsia="Calibri" w:hAnsi="Liberation Serif" w:cs="Liberation Serif"/>
          <w:b/>
          <w:i/>
          <w:iCs/>
          <w:sz w:val="24"/>
          <w:szCs w:val="24"/>
        </w:rPr>
      </w:pPr>
      <w:r w:rsidRPr="00AC1FC6">
        <w:rPr>
          <w:rFonts w:ascii="Liberation Serif" w:eastAsia="Calibri" w:hAnsi="Liberation Serif" w:cs="Liberation Serif"/>
          <w:b/>
          <w:i/>
          <w:iCs/>
          <w:sz w:val="24"/>
          <w:szCs w:val="24"/>
        </w:rPr>
        <w:t>Функциональные, технические и качественные характеристики, эксплуатационные характеристики (при необходимости), поставляемых товаров.</w:t>
      </w:r>
    </w:p>
    <w:p w:rsidR="002E481B" w:rsidRPr="00E5163D" w:rsidP="002E481B">
      <w:pPr>
        <w:pStyle w:val="ConsPlusNormal"/>
        <w:jc w:val="center"/>
        <w:rPr>
          <w:rFonts w:ascii="Liberation Serif" w:eastAsia="Calibri" w:hAnsi="Liberation Serif" w:cs="Liberation Serif"/>
          <w:b/>
          <w:sz w:val="24"/>
          <w:szCs w:val="24"/>
          <w:lang w:eastAsia="en-US"/>
        </w:rPr>
      </w:pPr>
    </w:p>
    <w:p w:rsidR="00BD628A" w:rsidRPr="006B75D2" w:rsidP="00BD628A">
      <w:pPr>
        <w:autoSpaceDE w:val="0"/>
        <w:autoSpaceDN w:val="0"/>
        <w:adjustRightInd w:val="0"/>
        <w:spacing w:after="0" w:line="240" w:lineRule="auto"/>
        <w:rPr>
          <w:rFonts w:ascii="Liberation Serif" w:hAnsi="Liberation Serif" w:cs="Liberation Serif"/>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802"/>
        <w:gridCol w:w="851"/>
        <w:gridCol w:w="992"/>
        <w:gridCol w:w="3260"/>
        <w:gridCol w:w="3686"/>
        <w:gridCol w:w="2126"/>
        <w:gridCol w:w="2068"/>
      </w:tblGrid>
      <w:tr w:rsidTr="002963D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08"/>
        </w:trPr>
        <w:tc>
          <w:tcPr>
            <w:tcW w:w="603"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w:t>
            </w:r>
          </w:p>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szCs w:val="24"/>
              </w:rPr>
              <w:t>п/п</w:t>
            </w:r>
          </w:p>
        </w:tc>
        <w:tc>
          <w:tcPr>
            <w:tcW w:w="1802" w:type="dxa"/>
            <w:vAlign w:val="center"/>
          </w:tcPr>
          <w:p w:rsidR="00BD628A" w:rsidRPr="00FE6BC2" w:rsidP="002963D0">
            <w:pPr>
              <w:jc w:val="center"/>
            </w:pPr>
            <w:r>
              <w:rPr>
                <w:rFonts w:ascii="Liberation Serif" w:hAnsi="Liberation Serif" w:cs="Liberation Serif"/>
                <w:szCs w:val="24"/>
              </w:rPr>
              <w:t>Наименование товара</w:t>
            </w:r>
            <w:r>
              <w:rPr>
                <w:rStyle w:val="FootnoteReference"/>
                <w:rFonts w:ascii="Liberation Serif" w:hAnsi="Liberation Serif" w:cs="Liberation Serif"/>
                <w:szCs w:val="24"/>
              </w:rPr>
              <w:footnoteReference w:id="2"/>
            </w:r>
          </w:p>
        </w:tc>
        <w:tc>
          <w:tcPr>
            <w:tcW w:w="851"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 xml:space="preserve">Ед. </w:t>
            </w:r>
          </w:p>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szCs w:val="24"/>
              </w:rPr>
              <w:t>изм.</w:t>
            </w:r>
          </w:p>
        </w:tc>
        <w:tc>
          <w:tcPr>
            <w:tcW w:w="992" w:type="dxa"/>
            <w:vAlign w:val="center"/>
          </w:tcPr>
          <w:p w:rsidR="00BD628A" w:rsidRPr="00E5163D" w:rsidP="002963D0">
            <w:pPr>
              <w:autoSpaceDE w:val="0"/>
              <w:spacing w:after="0"/>
              <w:jc w:val="center"/>
              <w:rPr>
                <w:rFonts w:ascii="Liberation Serif" w:hAnsi="Liberation Serif" w:cs="Liberation Serif"/>
                <w:szCs w:val="24"/>
              </w:rPr>
            </w:pPr>
            <w:r w:rsidRPr="00E5163D">
              <w:rPr>
                <w:rFonts w:ascii="Liberation Serif" w:hAnsi="Liberation Serif" w:cs="Liberation Serif"/>
                <w:szCs w:val="24"/>
              </w:rPr>
              <w:t>Кол-во</w:t>
            </w:r>
          </w:p>
        </w:tc>
        <w:tc>
          <w:tcPr>
            <w:tcW w:w="3260" w:type="dxa"/>
            <w:vAlign w:val="center"/>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Pr>
                <w:rFonts w:ascii="Liberation Serif" w:hAnsi="Liberation Serif" w:cs="Liberation Serif"/>
                <w:szCs w:val="24"/>
              </w:rPr>
              <w:t xml:space="preserve">Наименование показателя </w:t>
            </w:r>
            <w:r>
              <w:rPr>
                <w:rStyle w:val="FootnoteReference"/>
                <w:rFonts w:ascii="Liberation Serif" w:hAnsi="Liberation Serif" w:cs="Liberation Serif"/>
                <w:szCs w:val="24"/>
              </w:rPr>
              <w:footnoteReference w:id="3"/>
            </w:r>
          </w:p>
        </w:tc>
        <w:tc>
          <w:tcPr>
            <w:tcW w:w="3686" w:type="dxa"/>
            <w:vAlign w:val="center"/>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Содержание (значение) показателя</w:t>
            </w:r>
            <w:r>
              <w:rPr>
                <w:rStyle w:val="FootnoteReference"/>
                <w:rFonts w:ascii="Liberation Serif" w:hAnsi="Liberation Serif" w:cs="Liberation Serif"/>
                <w:szCs w:val="24"/>
              </w:rPr>
              <w:footnoteReference w:id="4"/>
            </w:r>
          </w:p>
        </w:tc>
        <w:tc>
          <w:tcPr>
            <w:tcW w:w="2126"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Обоснование использования характеристик</w:t>
            </w:r>
            <w:r>
              <w:rPr>
                <w:rStyle w:val="FootnoteReference"/>
                <w:rFonts w:ascii="Liberation Serif" w:hAnsi="Liberation Serif" w:cs="Liberation Serif"/>
                <w:szCs w:val="24"/>
              </w:rPr>
              <w:footnoteReference w:id="5"/>
            </w:r>
          </w:p>
        </w:tc>
        <w:tc>
          <w:tcPr>
            <w:tcW w:w="2068" w:type="dxa"/>
          </w:tcPr>
          <w:p w:rsidR="00BD628A" w:rsidRPr="00E5163D" w:rsidP="002963D0">
            <w:pPr>
              <w:spacing w:after="0" w:line="240" w:lineRule="auto"/>
              <w:jc w:val="center"/>
              <w:rPr>
                <w:rFonts w:ascii="Liberation Serif" w:hAnsi="Liberation Serif" w:cs="Liberation Serif"/>
                <w:szCs w:val="24"/>
              </w:rPr>
            </w:pPr>
            <w:r>
              <w:rPr>
                <w:rFonts w:ascii="Liberation Serif" w:hAnsi="Liberation Serif" w:cs="Liberation Serif"/>
                <w:szCs w:val="24"/>
              </w:rPr>
              <w:t>Инструкция участнику закупки по формированию предложения</w:t>
            </w: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Буферный разбавитель</w:t>
            </w:r>
            <w:r w:rsidRPr="00E5163D">
              <w:rPr>
                <w:rFonts w:ascii="Liberation Serif" w:hAnsi="Liberation Serif" w:cs="Liberation Serif"/>
                <w:noProof/>
                <w:szCs w:val="24"/>
              </w:rPr>
              <w:t xml:space="preserve"> образцов ИВД, автоматические/полуавтоматические системы</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Штрих-код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Разбавляемые жидкости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Сыворотка, </w:t>
                        </w:r>
                        <w:r>
                          <w:rPr>
                            <w:rFonts w:ascii="Liberation Serif" w:hAnsi="Liberation Serif" w:cs="Liberation Serif"/>
                            <w:noProof/>
                            <w:szCs w:val="24"/>
                            <w:lang w:val="en-US"/>
                          </w:rPr>
                          <w:t>плазма крови человека, цельная кровь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5000</w:t>
                        </w:r>
                        <w:r>
                          <w:rPr>
                            <w:rFonts w:ascii="Liberation Serif" w:hAnsi="Liberation Serif" w:cs="Liberation Serif"/>
                            <w:noProof/>
                            <w:szCs w:val="24"/>
                            <w:lang w:val="en-US"/>
                          </w:rPr>
                          <w:t xml:space="preserve"> и ≤ 20000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w:t>
                        </w:r>
                        <w:r>
                          <w:rPr>
                            <w:rFonts w:ascii="Liberation Serif" w:hAnsi="Liberation Serif" w:cs="Liberation Serif"/>
                            <w:noProof/>
                            <w:szCs w:val="24"/>
                            <w:lang w:val="en-US"/>
                          </w:rPr>
                          <w:t xml:space="preserve"> количества и размеров эритроцитов и тромбоцитов с применением метода гидродинамической фокусировки (детектирование при постоянном токе). Концентрация гемоглобина определяется с добавлением гемолитического реагента согласно спецификациям Sysmex. Кроме того, он используется в качестве фокусирующей жидкости для детектора гидродинамической фокусировки (детектирование при постоянном токе (DC)) или для детектора проточной цитометрии (FCM).</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Буферный разбавитель</w:t>
            </w:r>
            <w:r w:rsidRPr="00E5163D">
              <w:rPr>
                <w:rFonts w:ascii="Liberation Serif" w:hAnsi="Liberation Serif" w:cs="Liberation Serif"/>
                <w:noProof/>
                <w:szCs w:val="24"/>
              </w:rPr>
              <w:t xml:space="preserve"> образцов ИВД, автоматические/полуавтоматические системы</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1000</w:t>
                        </w:r>
                        <w:r>
                          <w:rPr>
                            <w:rFonts w:ascii="Liberation Serif" w:hAnsi="Liberation Serif" w:cs="Liberation Serif"/>
                            <w:noProof/>
                            <w:szCs w:val="24"/>
                            <w:lang w:val="en-US"/>
                          </w:rPr>
                          <w:t xml:space="preserve"> и ≤ 4200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использования</w:t>
                        </w:r>
                        <w:r>
                          <w:rPr>
                            <w:rFonts w:ascii="Liberation Serif" w:hAnsi="Liberation Serif" w:cs="Liberation Serif"/>
                            <w:noProof/>
                            <w:szCs w:val="24"/>
                            <w:lang w:val="en-US"/>
                          </w:rPr>
                          <w:t xml:space="preserve"> в сочетании с красителями для анализа ретикулоцитов и/или тромбоцитов с применением метода проточной цитометрии с использованием полупроводникового лазера.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Штрих-код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Разбавляемые жидкости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Сыворотка, </w:t>
                        </w:r>
                        <w:r>
                          <w:rPr>
                            <w:rFonts w:ascii="Liberation Serif" w:hAnsi="Liberation Serif" w:cs="Liberation Serif"/>
                            <w:noProof/>
                            <w:szCs w:val="24"/>
                            <w:lang w:val="en-US"/>
                          </w:rPr>
                          <w:t>плазма крови человека, цельная кровь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21.20.23.110-00000017</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Реагент для</w:t>
            </w:r>
            <w:r w:rsidRPr="00E5163D">
              <w:rPr>
                <w:rFonts w:ascii="Liberation Serif" w:hAnsi="Liberation Serif" w:cs="Liberation Serif"/>
                <w:noProof/>
                <w:szCs w:val="24"/>
              </w:rPr>
              <w:t xml:space="preserve"> лизиса клеток крови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21.20.23.110-00011121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5000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21.20.23.110-00011121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 комбинации</w:t>
                        </w:r>
                        <w:r>
                          <w:rPr>
                            <w:rFonts w:ascii="Liberation Serif" w:hAnsi="Liberation Serif" w:cs="Liberation Serif"/>
                            <w:noProof/>
                            <w:szCs w:val="24"/>
                            <w:lang w:val="en-US"/>
                          </w:rPr>
                          <w:t xml:space="preserve"> со специальным разбавителем (Cellpack DCL) применяется для определения концентрации гемоглобина, высвобождаемого из RBC согласно SLS-методу.</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Реагент для</w:t>
            </w:r>
            <w:r w:rsidRPr="00E5163D">
              <w:rPr>
                <w:rFonts w:ascii="Liberation Serif" w:hAnsi="Liberation Serif" w:cs="Liberation Serif"/>
                <w:noProof/>
                <w:szCs w:val="24"/>
              </w:rPr>
              <w:t xml:space="preserve"> лизиса клеток крови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21.20.23.110-00011121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5000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21.20.23.110-00011121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Путем лизирования</w:t>
                        </w:r>
                        <w:r>
                          <w:rPr>
                            <w:rFonts w:ascii="Liberation Serif" w:hAnsi="Liberation Serif" w:cs="Liberation Serif"/>
                            <w:noProof/>
                            <w:szCs w:val="24"/>
                            <w:lang w:val="en-US"/>
                          </w:rPr>
                          <w:t xml:space="preserve"> эритроцитов данным реагентом и дифференцировки лейкоцитов, базофилов и нормобластов с помощью его сочетания с реагентным картриджем Fluorocell WNR осуществляется подсчет лейкоцитов, подсчет базофилов, определение относительного количества базофилов, подсчет нормобластов и определение относительного количества нормобластов. </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Реагент используется только в сочетании с реагентным картриджем Fluorocell WNR.</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Реагент для</w:t>
            </w:r>
            <w:r w:rsidRPr="00E5163D">
              <w:rPr>
                <w:rFonts w:ascii="Liberation Serif" w:hAnsi="Liberation Serif" w:cs="Liberation Serif"/>
                <w:noProof/>
                <w:szCs w:val="24"/>
              </w:rPr>
              <w:t xml:space="preserve"> лизиса клеток крови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21.20.23.110-00011121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5000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21.20.23.110-00011121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Путем гемолиза</w:t>
                        </w:r>
                        <w:r>
                          <w:rPr>
                            <w:rFonts w:ascii="Liberation Serif" w:hAnsi="Liberation Serif" w:cs="Liberation Serif"/>
                            <w:noProof/>
                            <w:szCs w:val="24"/>
                            <w:lang w:val="en-US"/>
                          </w:rPr>
                          <w:t xml:space="preserve"> эритроцитов данным реагентом и окрашивания компонентов лейкоцитов с помощью реагентного картриджа Fluorocell WDF выполняется подсчет абсолютного количества и определение относительного количества нейтрофилов, лимфоцитов, моноцитов и эозинофилов. </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Реагент используется только в сочетании с реагентным картриджем Fluorocell WDF.</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набор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RFID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Окрашивающий реагент</w:t>
                        </w:r>
                        <w:r>
                          <w:rPr>
                            <w:rFonts w:ascii="Liberation Serif" w:hAnsi="Liberation Serif" w:cs="Liberation Serif"/>
                            <w:noProof/>
                            <w:szCs w:val="24"/>
                            <w:lang w:val="en-US"/>
                          </w:rPr>
                          <w:t>.Предназначается для окрашивания ядросодержащих клеток в разбавленных и лизированных образцах крови при подсчете числа лейкоцитов, числа ядросодержащих эритроцитов и числа базофилов в сочетании с лизирующим реагентом Lysercell WNR с помощью автоматических гематологических анализаторов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Фасовка, </w:t>
                  </w:r>
                  <w:r>
                    <w:rPr>
                      <w:rFonts w:ascii="Liberation Serif" w:hAnsi="Liberation Serif" w:cs="Liberation Serif"/>
                      <w:noProof/>
                      <w:szCs w:val="24"/>
                      <w:lang w:val="en-US"/>
                    </w:rPr>
                    <w:t>штук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Данный вид</w:t>
                  </w:r>
                  <w:r>
                    <w:rPr>
                      <w:rFonts w:ascii="Liberation Serif" w:hAnsi="Liberation Serif" w:cs="Liberation Serif"/>
                      <w:i/>
                      <w:iCs/>
                      <w:noProof/>
                      <w:szCs w:val="24"/>
                      <w:lang w:val="en-US"/>
                    </w:rPr>
                    <w:t xml:space="preserve"> упаковки необходим для дозированного раскапывания реагента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82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набор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2.00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RFID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Окрашивающий реагент</w:t>
                        </w:r>
                        <w:r>
                          <w:rPr>
                            <w:rFonts w:ascii="Liberation Serif" w:hAnsi="Liberation Serif" w:cs="Liberation Serif"/>
                            <w:noProof/>
                            <w:szCs w:val="24"/>
                            <w:lang w:val="en-US"/>
                          </w:rPr>
                          <w:t>.Предназначается для окрашивания лейкоцитов в разбавленных образцах крови при дифференциальном подсчете лейкоцитов по 4 популяциям в сочетании с лизирующим реагентом Lysercell WDF c помощью автоматических гематологических анализаторов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Фасовка, </w:t>
                  </w:r>
                  <w:r>
                    <w:rPr>
                      <w:rFonts w:ascii="Liberation Serif" w:hAnsi="Liberation Serif" w:cs="Liberation Serif"/>
                      <w:noProof/>
                      <w:szCs w:val="24"/>
                      <w:lang w:val="en-US"/>
                    </w:rPr>
                    <w:t>штук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Данный вид</w:t>
                  </w:r>
                  <w:r>
                    <w:rPr>
                      <w:rFonts w:ascii="Liberation Serif" w:hAnsi="Liberation Serif" w:cs="Liberation Serif"/>
                      <w:i/>
                      <w:iCs/>
                      <w:noProof/>
                      <w:szCs w:val="24"/>
                      <w:lang w:val="en-US"/>
                    </w:rPr>
                    <w:t xml:space="preserve"> упаковки необходим для дозированного раскапывания реагента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42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8</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Буферный разбавитель</w:t>
            </w:r>
            <w:r w:rsidRPr="00E5163D">
              <w:rPr>
                <w:rFonts w:ascii="Liberation Serif" w:hAnsi="Liberation Serif" w:cs="Liberation Serif"/>
                <w:noProof/>
                <w:szCs w:val="24"/>
              </w:rPr>
              <w:t xml:space="preserve"> образцов ИВД, автоматические/полуавтоматические системы</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3.00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Штрих-код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Разбавляемые жидкости</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Сыворотка, </w:t>
                        </w:r>
                        <w:r>
                          <w:rPr>
                            <w:rFonts w:ascii="Liberation Serif" w:hAnsi="Liberation Serif" w:cs="Liberation Serif"/>
                            <w:noProof/>
                            <w:szCs w:val="24"/>
                            <w:lang w:val="en-US"/>
                          </w:rPr>
                          <w:t>плазма крови человека, цельная кровь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5000</w:t>
                        </w:r>
                        <w:r>
                          <w:rPr>
                            <w:rFonts w:ascii="Liberation Serif" w:hAnsi="Liberation Serif" w:cs="Liberation Serif"/>
                            <w:noProof/>
                            <w:szCs w:val="24"/>
                            <w:lang w:val="en-US"/>
                          </w:rPr>
                          <w:t xml:space="preserve"> и ≤ 20000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21.20.23.110-00000016</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Изотонический разбавитель</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xml:space="preserve">Предназначен для измерения числа и размеров RBC и </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тромбоцитов методом гидродинамической фокусировки (обнаружение DC).</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9</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Реагент для</w:t>
            </w:r>
            <w:r w:rsidRPr="00E5163D">
              <w:rPr>
                <w:rFonts w:ascii="Liberation Serif" w:hAnsi="Liberation Serif" w:cs="Liberation Serif"/>
                <w:noProof/>
                <w:szCs w:val="24"/>
              </w:rPr>
              <w:t xml:space="preserve"> лизиса клеток крови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21.20.23.110-00010651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1500</w:t>
                        </w:r>
                        <w:r>
                          <w:rPr>
                            <w:rFonts w:ascii="Liberation Serif" w:hAnsi="Liberation Serif" w:cs="Liberation Serif"/>
                            <w:noProof/>
                            <w:szCs w:val="24"/>
                            <w:lang w:val="en-US"/>
                          </w:rPr>
                          <w:t xml:space="preserve"> и ≤ 2000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21.20.23.110-00010651</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Водный раствор</w:t>
                        </w:r>
                        <w:r>
                          <w:rPr>
                            <w:rFonts w:ascii="Liberation Serif" w:hAnsi="Liberation Serif" w:cs="Liberation Serif"/>
                            <w:noProof/>
                            <w:szCs w:val="24"/>
                            <w:lang w:val="en-US"/>
                          </w:rPr>
                          <w:t xml:space="preserve"> содержащий органические четвертичные соли аммония 8,5 г/л</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Хлорид натрия 0,6 г/л</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 комбинации</w:t>
                        </w:r>
                        <w:r>
                          <w:rPr>
                            <w:rFonts w:ascii="Liberation Serif" w:hAnsi="Liberation Serif" w:cs="Liberation Serif"/>
                            <w:noProof/>
                            <w:szCs w:val="24"/>
                            <w:lang w:val="en-US"/>
                          </w:rPr>
                          <w:t xml:space="preserve"> со специальным лизирующим раствором</w:t>
                        </w:r>
                      </w:p>
                      <w:p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лизирует WBC/HGB и предназначается для классификации WBC с использованием технологии</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кондуктометрии.</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60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10</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контрольный материал</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ручной</w:t>
                        </w:r>
                        <w:r>
                          <w:rPr>
                            <w:rFonts w:ascii="Liberation Serif" w:hAnsi="Liberation Serif" w:cs="Liberation Serif"/>
                            <w:noProof/>
                            <w:szCs w:val="24"/>
                            <w:lang w:val="en-US"/>
                          </w:rPr>
                          <w:t xml:space="preserve"> постановки анализа и анализаторов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Контрольный материал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Низкий уровень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методикой</w:t>
                  </w:r>
                  <w:r>
                    <w:rPr>
                      <w:rFonts w:ascii="Liberation Serif" w:hAnsi="Liberation Serif" w:cs="Liberation Serif"/>
                      <w:i/>
                      <w:iCs/>
                      <w:noProof/>
                      <w:szCs w:val="24"/>
                      <w:lang w:val="en-US"/>
                    </w:rPr>
                    <w:t xml:space="preserve"> проведения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Стабилизированные эритроциты</w:t>
                        </w:r>
                        <w:r>
                          <w:rPr>
                            <w:rFonts w:ascii="Liberation Serif" w:hAnsi="Liberation Serif" w:cs="Liberation Serif"/>
                            <w:noProof/>
                            <w:szCs w:val="24"/>
                            <w:lang w:val="en-US"/>
                          </w:rPr>
                          <w:t xml:space="preserve"> человека, лейкоциты человека, тромбоциты и ядросодержащие эритроциты в среде с консервантом.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Лист анализа</w:t>
                        </w:r>
                        <w:r>
                          <w:rPr>
                            <w:rFonts w:ascii="Liberation Serif" w:hAnsi="Liberation Serif" w:cs="Liberation Serif"/>
                            <w:noProof/>
                            <w:szCs w:val="24"/>
                            <w:lang w:val="en-US"/>
                          </w:rPr>
                          <w:t xml:space="preserve">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интенсивности реактивности и гранулярности нейтрофилов.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Стабильность после</w:t>
                  </w:r>
                  <w:r>
                    <w:rPr>
                      <w:rFonts w:ascii="Liberation Serif" w:hAnsi="Liberation Serif" w:cs="Liberation Serif"/>
                      <w:noProof/>
                      <w:szCs w:val="24"/>
                      <w:lang w:val="en-US"/>
                    </w:rPr>
                    <w:t xml:space="preserve">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11</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контрольный материал</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ручной</w:t>
                        </w:r>
                        <w:r>
                          <w:rPr>
                            <w:rFonts w:ascii="Liberation Serif" w:hAnsi="Liberation Serif" w:cs="Liberation Serif"/>
                            <w:noProof/>
                            <w:szCs w:val="24"/>
                            <w:lang w:val="en-US"/>
                          </w:rPr>
                          <w:t xml:space="preserve"> постановки анализа и анализаторов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Контрольный материал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Нормальный уровень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методикой</w:t>
                  </w:r>
                  <w:r>
                    <w:rPr>
                      <w:rFonts w:ascii="Liberation Serif" w:hAnsi="Liberation Serif" w:cs="Liberation Serif"/>
                      <w:i/>
                      <w:iCs/>
                      <w:noProof/>
                      <w:szCs w:val="24"/>
                      <w:lang w:val="en-US"/>
                    </w:rPr>
                    <w:t xml:space="preserve"> проведения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Стабилизированные эритроциты</w:t>
                        </w:r>
                        <w:r>
                          <w:rPr>
                            <w:rFonts w:ascii="Liberation Serif" w:hAnsi="Liberation Serif" w:cs="Liberation Serif"/>
                            <w:noProof/>
                            <w:szCs w:val="24"/>
                            <w:lang w:val="en-US"/>
                          </w:rPr>
                          <w:t xml:space="preserve"> человека, лейкоциты человека, тромбоциты и ядросодержащие эритроциты в среде с консервантом.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Лист анализа</w:t>
                        </w:r>
                        <w:r>
                          <w:rPr>
                            <w:rFonts w:ascii="Liberation Serif" w:hAnsi="Liberation Serif" w:cs="Liberation Serif"/>
                            <w:noProof/>
                            <w:szCs w:val="24"/>
                            <w:lang w:val="en-US"/>
                          </w:rPr>
                          <w:t xml:space="preserve">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интенсивности реактивности и гранулярности нейтрофилов.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Стабильность после</w:t>
                  </w:r>
                  <w:r>
                    <w:rPr>
                      <w:rFonts w:ascii="Liberation Serif" w:hAnsi="Liberation Serif" w:cs="Liberation Serif"/>
                      <w:noProof/>
                      <w:szCs w:val="24"/>
                      <w:lang w:val="en-US"/>
                    </w:rPr>
                    <w:t xml:space="preserve">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12</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контрольный материал</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ручной</w:t>
                        </w:r>
                        <w:r>
                          <w:rPr>
                            <w:rFonts w:ascii="Liberation Serif" w:hAnsi="Liberation Serif" w:cs="Liberation Serif"/>
                            <w:noProof/>
                            <w:szCs w:val="24"/>
                            <w:lang w:val="en-US"/>
                          </w:rPr>
                          <w:t xml:space="preserve"> постановки анализа и анализаторов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21.20.23.110-00005063</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Контрольный материал</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Высокий уровень</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методикой</w:t>
                  </w:r>
                  <w:r>
                    <w:rPr>
                      <w:rFonts w:ascii="Liberation Serif" w:hAnsi="Liberation Serif" w:cs="Liberation Serif"/>
                      <w:i/>
                      <w:iCs/>
                      <w:noProof/>
                      <w:szCs w:val="24"/>
                      <w:lang w:val="en-US"/>
                    </w:rPr>
                    <w:t xml:space="preserve"> проведения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Стабилизированные эритроциты</w:t>
                        </w:r>
                        <w:r>
                          <w:rPr>
                            <w:rFonts w:ascii="Liberation Serif" w:hAnsi="Liberation Serif" w:cs="Liberation Serif"/>
                            <w:noProof/>
                            <w:szCs w:val="24"/>
                            <w:lang w:val="en-US"/>
                          </w:rPr>
                          <w:t xml:space="preserve"> человека, лейкоциты человека, тромбоциты и ядросодержащие эритроциты в среде с консервантом.</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Лист анализа</w:t>
                        </w:r>
                        <w:r>
                          <w:rPr>
                            <w:rFonts w:ascii="Liberation Serif" w:hAnsi="Liberation Serif" w:cs="Liberation Serif"/>
                            <w:noProof/>
                            <w:szCs w:val="24"/>
                            <w:lang w:val="en-US"/>
                          </w:rPr>
                          <w:t xml:space="preserve"> контрольного материала содержит контрольные значения и предельные значения для контроля качества всех доступных диагностических параметров, включая абсолютное и относительное содержание нормобластов, абсолютное и относительное содержание незрелых гранулоцитов, а также абсолютное и относительное содержание антитело-синтезирующих лимфоцитов и абсолютное и относительное содержание реактивных лимфоцитов, за исключением интенсивности реактивности и гранулярности нейтрофилов.</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3</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Стабильность после</w:t>
                  </w:r>
                  <w:r>
                    <w:rPr>
                      <w:rFonts w:ascii="Liberation Serif" w:hAnsi="Liberation Serif" w:cs="Liberation Serif"/>
                      <w:noProof/>
                      <w:szCs w:val="24"/>
                      <w:lang w:val="en-US"/>
                    </w:rPr>
                    <w:t xml:space="preserve">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7</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13</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Моющий/чистящий</w:t>
            </w:r>
            <w:r w:rsidRPr="00E5163D">
              <w:rPr>
                <w:rFonts w:ascii="Liberation Serif" w:hAnsi="Liberation Serif" w:cs="Liberation Serif"/>
                <w:noProof/>
                <w:szCs w:val="24"/>
              </w:rPr>
              <w:t xml:space="preserve"> раствор ИВД, для автоматических/полуавтоматических систем</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6.00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10</w:t>
                        </w:r>
                        <w:r>
                          <w:rPr>
                            <w:rFonts w:ascii="Liberation Serif" w:hAnsi="Liberation Serif" w:cs="Liberation Serif"/>
                            <w:noProof/>
                            <w:szCs w:val="24"/>
                            <w:lang w:val="en-US"/>
                          </w:rPr>
                          <w:t xml:space="preserve"> и ≤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Состав</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Гипохлорит натрия</w:t>
                        </w:r>
                        <w:r>
                          <w:rPr>
                            <w:rFonts w:ascii="Liberation Serif" w:hAnsi="Liberation Serif" w:cs="Liberation Serif"/>
                            <w:noProof/>
                            <w:szCs w:val="24"/>
                            <w:lang w:val="en-US"/>
                          </w:rPr>
                          <w:t xml:space="preserve"> 5,0%, натрия гидроксид &lt;1,0 %, натрия хлорид &lt;2,0 %.</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r w:rsidTr="002963D0">
                    <w:tblPrEx>
                      <w:tblW w:w="4995" w:type="pct"/>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Гипохлорит натрия</w:t>
                        </w:r>
                        <w:r>
                          <w:rPr>
                            <w:rFonts w:ascii="Liberation Serif" w:hAnsi="Liberation Serif" w:cs="Liberation Serif"/>
                            <w:noProof/>
                            <w:szCs w:val="24"/>
                            <w:lang w:val="en-US"/>
                          </w:rPr>
                          <w:t xml:space="preserve"> (доступная концентрация хлора 5,0%)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Реализует возможность</w:t>
                  </w:r>
                  <w:r>
                    <w:rPr>
                      <w:rFonts w:ascii="Liberation Serif" w:hAnsi="Liberation Serif" w:cs="Liberation Serif"/>
                      <w:i/>
                      <w:iCs/>
                      <w:noProof/>
                      <w:szCs w:val="24"/>
                      <w:lang w:val="en-US"/>
                    </w:rPr>
                    <w:t xml:space="preserve"> точного анализа препаратов для проведения исследования и постановки диагноза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только одно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14</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набор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RFID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Окрашивающий реагент</w:t>
                        </w:r>
                        <w:r>
                          <w:rPr>
                            <w:rFonts w:ascii="Liberation Serif" w:hAnsi="Liberation Serif" w:cs="Liberation Serif"/>
                            <w:noProof/>
                            <w:szCs w:val="24"/>
                            <w:lang w:val="en-US"/>
                          </w:rPr>
                          <w:t xml:space="preserve"> для тромбоцитов</w:t>
                        </w:r>
                      </w:p>
                      <w:p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Предназначается для окрашивания тромбоцитов в разбавленных образцах крови при подсчете числа и процентного содержания незрелых тромбоцитов и подсчете общего числа тромбоцитов в сочетании с буферным раствором с помощью автоматических гематологических анализаторов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Фасовка, </w:t>
                  </w:r>
                  <w:r>
                    <w:rPr>
                      <w:rFonts w:ascii="Liberation Serif" w:hAnsi="Liberation Serif" w:cs="Liberation Serif"/>
                      <w:noProof/>
                      <w:szCs w:val="24"/>
                      <w:lang w:val="en-US"/>
                    </w:rPr>
                    <w:t>штук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Данный вид</w:t>
                  </w:r>
                  <w:r>
                    <w:rPr>
                      <w:rFonts w:ascii="Liberation Serif" w:hAnsi="Liberation Serif" w:cs="Liberation Serif"/>
                      <w:i/>
                      <w:iCs/>
                      <w:noProof/>
                      <w:szCs w:val="24"/>
                      <w:lang w:val="en-US"/>
                    </w:rPr>
                    <w:t xml:space="preserve"> упаковки необходим для дозированного раскапывания реагента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15</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набор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RFID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Окрашивающий реагент</w:t>
                        </w:r>
                        <w:r>
                          <w:rPr>
                            <w:rFonts w:ascii="Liberation Serif" w:hAnsi="Liberation Serif" w:cs="Liberation Serif"/>
                            <w:noProof/>
                            <w:szCs w:val="24"/>
                            <w:lang w:val="en-US"/>
                          </w:rPr>
                          <w:t xml:space="preserve"> для ретикулоцитов</w:t>
                        </w:r>
                      </w:p>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Предназначается для окрашивания ретикулоцитов в разбавленных образцах крови при подсчете числа и процентного содержания ретикулоцитов и подсчете числа тромбоцитов с помощью автоматических гематологических анализаторов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Фасовка, </w:t>
                  </w:r>
                  <w:r>
                    <w:rPr>
                      <w:rFonts w:ascii="Liberation Serif" w:hAnsi="Liberation Serif" w:cs="Liberation Serif"/>
                      <w:noProof/>
                      <w:szCs w:val="24"/>
                      <w:lang w:val="en-US"/>
                    </w:rPr>
                    <w:t>штук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Данный вид</w:t>
                  </w:r>
                  <w:r>
                    <w:rPr>
                      <w:rFonts w:ascii="Liberation Serif" w:hAnsi="Liberation Serif" w:cs="Liberation Serif"/>
                      <w:i/>
                      <w:iCs/>
                      <w:noProof/>
                      <w:szCs w:val="24"/>
                      <w:lang w:val="en-US"/>
                    </w:rPr>
                    <w:t xml:space="preserve"> упаковки необходим для дозированного раскапывания реагента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16</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Реагент для</w:t>
            </w:r>
            <w:r w:rsidRPr="00E5163D">
              <w:rPr>
                <w:rFonts w:ascii="Liberation Serif" w:hAnsi="Liberation Serif" w:cs="Liberation Serif"/>
                <w:noProof/>
                <w:szCs w:val="24"/>
              </w:rPr>
              <w:t xml:space="preserve"> лизиса клеток крови ИВД</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ШТ</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серий XN, XN-L, XT, XS, XP</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21.20.23.110-00011119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3000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21.20.23.110-00011119</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Лизирующий реагент</w:t>
                        </w:r>
                        <w:r>
                          <w:rPr>
                            <w:rFonts w:ascii="Liberation Serif" w:hAnsi="Liberation Serif" w:cs="Liberation Serif"/>
                            <w:noProof/>
                            <w:szCs w:val="24"/>
                            <w:lang w:val="en-US"/>
                          </w:rPr>
                          <w:t>. Реагент используется в сочетании с Fluorocell WPC. Реагент служит для гемолиза эритроцитовс целью определения присутствия аномальных или незрелых клеток. Этот реагент должен применяться путем присоединения к гематологическому анализатору согласно спецификациям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Фасовка, </w:t>
                  </w:r>
                  <w:r>
                    <w:rPr>
                      <w:rFonts w:ascii="Liberation Serif" w:hAnsi="Liberation Serif" w:cs="Liberation Serif"/>
                      <w:noProof/>
                      <w:szCs w:val="24"/>
                      <w:lang w:val="en-US"/>
                    </w:rPr>
                    <w:t>штук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Данный вид</w:t>
                  </w:r>
                  <w:r>
                    <w:rPr>
                      <w:rFonts w:ascii="Liberation Serif" w:hAnsi="Liberation Serif" w:cs="Liberation Serif"/>
                      <w:i/>
                      <w:iCs/>
                      <w:noProof/>
                      <w:szCs w:val="24"/>
                      <w:lang w:val="en-US"/>
                    </w:rPr>
                    <w:t xml:space="preserve"> упаковки необходим для дозированного раскапывания реагента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1.5</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r w:rsidTr="002963D0">
        <w:tblPrEx>
          <w:tblW w:w="5000" w:type="pct"/>
          <w:tblLayout w:type="fixed"/>
          <w:tblLook w:val="0000"/>
        </w:tblPrEx>
        <w:trPr>
          <w:trHeight w:val="408"/>
        </w:trPr>
        <w:tc>
          <w:tcPr>
            <w:tcW w:w="603" w:type="dxa"/>
          </w:tcPr>
          <w:p w:rsidR="00BD628A" w:rsidRPr="00E5163D" w:rsidP="002963D0">
            <w:pPr>
              <w:autoSpaceDE w:val="0"/>
              <w:autoSpaceDN w:val="0"/>
              <w:adjustRightInd w:val="0"/>
              <w:spacing w:after="0" w:line="240" w:lineRule="auto"/>
              <w:jc w:val="center"/>
              <w:rPr>
                <w:rFonts w:ascii="Liberation Serif" w:hAnsi="Liberation Serif" w:cs="Liberation Serif"/>
                <w:szCs w:val="24"/>
              </w:rPr>
            </w:pPr>
            <w:r w:rsidRPr="00E5163D">
              <w:rPr>
                <w:rFonts w:ascii="Liberation Serif" w:hAnsi="Liberation Serif" w:cs="Liberation Serif"/>
                <w:noProof/>
                <w:szCs w:val="24"/>
              </w:rPr>
              <w:t>17</w:t>
            </w:r>
          </w:p>
        </w:tc>
        <w:tc>
          <w:tcPr>
            <w:tcW w:w="1802" w:type="dxa"/>
          </w:tcPr>
          <w:p w:rsidR="00BD628A" w:rsidRPr="00E5163D" w:rsidP="002963D0">
            <w:pPr>
              <w:autoSpaceDE w:val="0"/>
              <w:autoSpaceDN w:val="0"/>
              <w:adjustRightInd w:val="0"/>
              <w:spacing w:after="0" w:line="240" w:lineRule="auto"/>
              <w:jc w:val="center"/>
              <w:rPr>
                <w:rFonts w:ascii="Liberation Serif" w:hAnsi="Liberation Serif" w:cs="Liberation Serif"/>
                <w:bCs/>
                <w:szCs w:val="24"/>
              </w:rPr>
            </w:pPr>
            <w:r w:rsidRPr="00E5163D">
              <w:rPr>
                <w:rFonts w:ascii="Liberation Serif" w:hAnsi="Liberation Serif" w:cs="Liberation Serif"/>
                <w:noProof/>
                <w:szCs w:val="24"/>
              </w:rPr>
              <w:t>Подсчет клеток</w:t>
            </w:r>
            <w:r w:rsidRPr="00E5163D">
              <w:rPr>
                <w:rFonts w:ascii="Liberation Serif" w:hAnsi="Liberation Serif" w:cs="Liberation Serif"/>
                <w:noProof/>
                <w:szCs w:val="24"/>
              </w:rPr>
              <w:t xml:space="preserve"> крови ИВД, набор</w:t>
            </w:r>
          </w:p>
        </w:tc>
        <w:tc>
          <w:tcPr>
            <w:tcW w:w="851"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НАБОР</w:t>
            </w:r>
          </w:p>
        </w:tc>
        <w:tc>
          <w:tcPr>
            <w:tcW w:w="992" w:type="dxa"/>
          </w:tcPr>
          <w:p w:rsidR="00BD628A" w:rsidRPr="00E5163D" w:rsidP="002963D0">
            <w:pPr>
              <w:autoSpaceDE w:val="0"/>
              <w:autoSpaceDN w:val="0"/>
              <w:adjustRightInd w:val="0"/>
              <w:spacing w:after="0" w:line="240" w:lineRule="auto"/>
              <w:jc w:val="center"/>
              <w:rPr>
                <w:rFonts w:ascii="Liberation Serif" w:hAnsi="Liberation Serif" w:cs="Liberation Serif"/>
                <w:noProof/>
                <w:szCs w:val="24"/>
                <w:lang w:val="en-US"/>
              </w:rPr>
            </w:pPr>
            <w:r>
              <w:rPr>
                <w:rFonts w:ascii="Liberation Serif" w:hAnsi="Liberation Serif" w:cs="Liberation Serif"/>
                <w:noProof/>
                <w:szCs w:val="24"/>
              </w:rPr>
              <w:t>1.00</w:t>
            </w:r>
          </w:p>
        </w:tc>
        <w:tc>
          <w:tcPr>
            <w:tcW w:w="11140" w:type="dxa"/>
            <w:gridSpan w:val="4"/>
            <w:tcMar>
              <w:left w:w="0" w:type="dxa"/>
              <w:right w:w="0" w:type="dxa"/>
            </w:tcMar>
          </w:tcPr>
          <w:tbl>
            <w:tblPr>
              <w:tblW w:w="11131" w:type="dxa"/>
              <w:tblBorders>
                <w:insideH w:val="single" w:sz="4" w:space="0" w:color="auto"/>
                <w:insideV w:val="single" w:sz="4" w:space="0" w:color="auto"/>
              </w:tblBorders>
              <w:tblLayout w:type="fixed"/>
              <w:tblLook w:val="0000"/>
            </w:tblPr>
            <w:tblGrid>
              <w:gridCol w:w="3253"/>
              <w:gridCol w:w="3686"/>
              <w:gridCol w:w="2126"/>
              <w:gridCol w:w="2066"/>
            </w:tblGrid>
            <w:tr w:rsidTr="002963D0">
              <w:tblPrEx>
                <w:tblW w:w="11131" w:type="dxa"/>
                <w:tblBorders>
                  <w:insideH w:val="single" w:sz="4" w:space="0" w:color="auto"/>
                  <w:insideV w:val="single" w:sz="4" w:space="0" w:color="auto"/>
                </w:tblBorders>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Назначение</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Для анализаторов</w:t>
                        </w:r>
                        <w:r>
                          <w:rPr>
                            <w:rFonts w:ascii="Liberation Serif" w:hAnsi="Liberation Serif" w:cs="Liberation Serif"/>
                            <w:noProof/>
                            <w:szCs w:val="24"/>
                            <w:lang w:val="en-US"/>
                          </w:rPr>
                          <w:t xml:space="preserve"> открытого типа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Вид метки</w:t>
                  </w:r>
                  <w:r>
                    <w:rPr>
                      <w:rFonts w:ascii="Liberation Serif" w:hAnsi="Liberation Serif" w:cs="Liberation Serif"/>
                      <w:noProof/>
                      <w:szCs w:val="24"/>
                      <w:lang w:val="en-US"/>
                    </w:rPr>
                    <w:t xml:space="preserve"> идентификации реагента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RFID метка</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sidRPr="009B30A4">
                    <w:rPr>
                      <w:rFonts w:ascii="Liberation Serif" w:hAnsi="Liberation Serif" w:cs="Liberation Serif"/>
                      <w:i/>
                      <w:iCs/>
                    </w:rPr>
                    <w:t>Код позиции КТРУ</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i/>
                      <w:iCs/>
                      <w:noProof/>
                      <w:szCs w:val="24"/>
                      <w:lang w:val="en-US"/>
                    </w:rPr>
                    <w:t>21.20.23.110-00005014</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Основные свойства</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Окрашивающий реагент</w:t>
                        </w:r>
                        <w:r>
                          <w:rPr>
                            <w:rFonts w:ascii="Liberation Serif" w:hAnsi="Liberation Serif" w:cs="Liberation Serif"/>
                            <w:noProof/>
                            <w:szCs w:val="24"/>
                            <w:lang w:val="en-US"/>
                          </w:rPr>
                          <w:t>.Предназначается для окрашивания лейкоцитов в разбавленных образцах крови при подсчете различных видов незрелых клеток в сочетании с лизирующим реагентом Lysercell WPC с помощью автоматических гематологических анализаторов Sysmex.</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Отработанный протокол</w:t>
                  </w:r>
                  <w:r>
                    <w:rPr>
                      <w:rFonts w:ascii="Liberation Serif" w:hAnsi="Liberation Serif" w:cs="Liberation Serif"/>
                      <w:i/>
                      <w:iCs/>
                      <w:noProof/>
                      <w:szCs w:val="24"/>
                      <w:lang w:val="en-US"/>
                    </w:rPr>
                    <w:t xml:space="preserve"> исследований</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 xml:space="preserve">Фасовка, </w:t>
                  </w:r>
                  <w:r>
                    <w:rPr>
                      <w:rFonts w:ascii="Liberation Serif" w:hAnsi="Liberation Serif" w:cs="Liberation Serif"/>
                      <w:noProof/>
                      <w:szCs w:val="24"/>
                      <w:lang w:val="en-US"/>
                    </w:rPr>
                    <w:t>штук</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rPr>
                    <w:t xml:space="preserve"> (</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Данный вид</w:t>
                  </w:r>
                  <w:r>
                    <w:rPr>
                      <w:rFonts w:ascii="Liberation Serif" w:hAnsi="Liberation Serif" w:cs="Liberation Serif"/>
                      <w:i/>
                      <w:iCs/>
                      <w:noProof/>
                      <w:szCs w:val="24"/>
                      <w:lang w:val="en-US"/>
                    </w:rPr>
                    <w:t xml:space="preserve"> упаковки необходим для дозированного раскапывания реагента</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Объем</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12</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СМ3;^</w:t>
                  </w:r>
                  <w:r>
                    <w:rPr>
                      <w:rFonts w:ascii="Liberation Serif" w:hAnsi="Liberation Serif" w:cs="Liberation Serif"/>
                      <w:noProof/>
                      <w:szCs w:val="24"/>
                      <w:lang w:val="en-US"/>
                    </w:rPr>
                    <w:t>МЛ</w:t>
                  </w:r>
                  <w:r>
                    <w:rPr>
                      <w:rFonts w:ascii="Liberation Serif" w:hAnsi="Liberation Serif" w:cs="Liberation Serif"/>
                      <w:noProof/>
                      <w:szCs w:val="24"/>
                    </w:rPr>
                    <w:t xml:space="preserve"> (</w:t>
                  </w:r>
                  <w:r>
                    <w:rPr>
                      <w:rFonts w:ascii="Liberation Serif" w:hAnsi="Liberation Serif" w:cs="Liberation Serif"/>
                      <w:noProof/>
                      <w:szCs w:val="24"/>
                      <w:lang w:val="en-US"/>
                    </w:rPr>
                    <w:t>Кубический сантиметр</w:t>
                  </w:r>
                  <w:r>
                    <w:rPr>
                      <w:rFonts w:ascii="Liberation Serif" w:hAnsi="Liberation Serif" w:cs="Liberation Serif"/>
                      <w:noProof/>
                      <w:szCs w:val="24"/>
                      <w:lang w:val="en-US"/>
                    </w:rPr>
                    <w:t>;^миллилитр</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Потребность Заказчика</w:t>
                  </w:r>
                  <w:r>
                    <w:rPr>
                      <w:rFonts w:ascii="Liberation Serif" w:hAnsi="Liberation Serif" w:cs="Liberation Serif"/>
                      <w:i/>
                      <w:iCs/>
                      <w:noProof/>
                      <w:szCs w:val="24"/>
                      <w:lang w:val="en-US"/>
                    </w:rPr>
                    <w:t>, для обеспечения бесперебойной работы оборудования</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Срок годности</w:t>
                  </w:r>
                  <w:r>
                    <w:rPr>
                      <w:rFonts w:ascii="Liberation Serif" w:hAnsi="Liberation Serif" w:cs="Liberation Serif"/>
                      <w:noProof/>
                      <w:szCs w:val="24"/>
                      <w:lang w:val="en-US"/>
                    </w:rPr>
                    <w:t xml:space="preserve"> после вскрытия</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 90</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r w:rsidRPr="00BF182E">
                    <w:rPr>
                      <w:rFonts w:ascii="Liberation Serif" w:hAnsi="Liberation Serif" w:cs="Liberation Serif"/>
                      <w:bCs/>
                      <w:kern w:val="1"/>
                    </w:rPr>
                    <w:t>Единица измерения:</w:t>
                  </w:r>
                </w:p>
                <w:p w:rsidRPr="006B75D2" w:rsidP="002963D0">
                  <w:pPr>
                    <w:autoSpaceDE w:val="0"/>
                    <w:autoSpaceDN w:val="0"/>
                    <w:adjustRightInd w:val="0"/>
                    <w:spacing w:after="0" w:line="240" w:lineRule="auto"/>
                    <w:jc w:val="center"/>
                    <w:rPr>
                      <w:rFonts w:ascii="Liberation Serif" w:hAnsi="Liberation Serif" w:cs="Liberation Serif"/>
                    </w:rPr>
                  </w:pPr>
                  <w:r>
                    <w:rPr>
                      <w:rFonts w:ascii="Liberation Serif" w:hAnsi="Liberation Serif" w:cs="Liberation Serif"/>
                      <w:noProof/>
                      <w:szCs w:val="24"/>
                      <w:lang w:val="en-US"/>
                    </w:rPr>
                    <w:t>СУТ;^</w:t>
                  </w:r>
                  <w:r>
                    <w:rPr>
                      <w:rFonts w:ascii="Liberation Serif" w:hAnsi="Liberation Serif" w:cs="Liberation Serif"/>
                      <w:noProof/>
                      <w:szCs w:val="24"/>
                      <w:lang w:val="en-US"/>
                    </w:rPr>
                    <w:t>ДН</w:t>
                  </w:r>
                  <w:r>
                    <w:rPr>
                      <w:rFonts w:ascii="Liberation Serif" w:hAnsi="Liberation Serif" w:cs="Liberation Serif"/>
                      <w:noProof/>
                      <w:szCs w:val="24"/>
                    </w:rPr>
                    <w:t xml:space="preserve"> (</w:t>
                  </w:r>
                  <w:r>
                    <w:rPr>
                      <w:rFonts w:ascii="Liberation Serif" w:hAnsi="Liberation Serif" w:cs="Liberation Serif"/>
                      <w:noProof/>
                      <w:szCs w:val="24"/>
                      <w:lang w:val="en-US"/>
                    </w:rPr>
                    <w:t>Сутки</w:t>
                  </w:r>
                  <w:r>
                    <w:rPr>
                      <w:rFonts w:ascii="Liberation Serif" w:hAnsi="Liberation Serif" w:cs="Liberation Serif"/>
                      <w:noProof/>
                      <w:szCs w:val="24"/>
                    </w:rPr>
                    <w:t>)</w:t>
                  </w: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обусловлено необходимостью</w:t>
                  </w:r>
                  <w:r>
                    <w:rPr>
                      <w:rFonts w:ascii="Liberation Serif" w:hAnsi="Liberation Serif" w:cs="Liberation Serif"/>
                      <w:i/>
                      <w:iCs/>
                      <w:noProof/>
                      <w:szCs w:val="24"/>
                      <w:lang w:val="en-US"/>
                    </w:rPr>
                    <w:t xml:space="preserve"> обеспечить достаточный срок сохранения качества реагентов в соответствии со скоростью расходования и графиком закупок</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Участник закупки</w:t>
                  </w:r>
                  <w:r>
                    <w:rPr>
                      <w:rFonts w:ascii="Liberation Serif" w:hAnsi="Liberation Serif" w:cs="Liberation Serif"/>
                      <w:i/>
                      <w:iCs/>
                      <w:noProof/>
                      <w:szCs w:val="24"/>
                      <w:lang w:val="en-US"/>
                    </w:rPr>
                    <w:t xml:space="preserve"> указывает в заявке конкретное значение характеристики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r w:rsidTr="002963D0">
              <w:tblPrEx>
                <w:tblW w:w="11131" w:type="dxa"/>
                <w:tblLayout w:type="fixed"/>
                <w:tblLook w:val="0000"/>
              </w:tblPrEx>
              <w:trPr>
                <w:trHeight w:val="406"/>
              </w:trPr>
              <w:tc>
                <w:tcPr>
                  <w:tcW w:w="3253" w:type="dxa"/>
                  <w:tcBorders>
                    <w:top w:val="nil"/>
                    <w:bottom w:val="single" w:sz="4" w:space="0" w:color="auto"/>
                  </w:tcBorders>
                </w:tcPr>
                <w:p w:rsidR="00BD628A" w:rsidRPr="00E5163D" w:rsidP="002963D0">
                  <w:pPr>
                    <w:autoSpaceDE w:val="0"/>
                    <w:autoSpaceDN w:val="0"/>
                    <w:adjustRightInd w:val="0"/>
                    <w:spacing w:after="0" w:line="240" w:lineRule="auto"/>
                    <w:jc w:val="center"/>
                    <w:rPr>
                      <w:rFonts w:ascii="Liberation Serif" w:hAnsi="Liberation Serif" w:cs="Liberation Serif"/>
                      <w:bCs/>
                      <w:szCs w:val="24"/>
                      <w:lang w:val="en-US"/>
                    </w:rPr>
                  </w:pPr>
                  <w:r>
                    <w:rPr>
                      <w:rFonts w:ascii="Liberation Serif" w:hAnsi="Liberation Serif" w:cs="Liberation Serif"/>
                      <w:noProof/>
                      <w:szCs w:val="24"/>
                      <w:lang w:val="en-US"/>
                    </w:rPr>
                    <w:t>Совместимость с</w:t>
                  </w:r>
                  <w:r>
                    <w:rPr>
                      <w:rFonts w:ascii="Liberation Serif" w:hAnsi="Liberation Serif" w:cs="Liberation Serif"/>
                      <w:noProof/>
                      <w:szCs w:val="24"/>
                      <w:lang w:val="en-US"/>
                    </w:rPr>
                    <w:t xml:space="preserve"> оборудованием имеющимся в наличии у Заказчика, автоматические гематологические анализаторы Sysmex</w:t>
                  </w:r>
                </w:p>
              </w:tc>
              <w:tc>
                <w:tcPr>
                  <w:tcW w:w="3686" w:type="dxa"/>
                  <w:tcBorders>
                    <w:top w:val="nil"/>
                    <w:bottom w:val="single" w:sz="4" w:space="0" w:color="auto"/>
                  </w:tcBorders>
                  <w:tcMar>
                    <w:left w:w="0" w:type="dxa"/>
                    <w:right w:w="0" w:type="dxa"/>
                  </w:tcMar>
                </w:tcPr>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0"/>
                    <w:gridCol w:w="3632"/>
                    <w:gridCol w:w="20"/>
                  </w:tblGrid>
                  <w:tr w:rsidTr="002963D0">
                    <w:tblPrEx>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27" w:type="pct"/>
                      </w:tcPr>
                      <w:p w:rsidR="00BD628A" w:rsidP="002963D0">
                        <w:pPr>
                          <w:autoSpaceDE w:val="0"/>
                          <w:autoSpaceDN w:val="0"/>
                          <w:adjustRightInd w:val="0"/>
                          <w:jc w:val="center"/>
                          <w:rPr>
                            <w:rFonts w:ascii="Liberation Serif" w:hAnsi="Liberation Serif" w:cs="Liberation Serif"/>
                            <w:noProof/>
                            <w:szCs w:val="24"/>
                            <w:lang w:val="en-US"/>
                          </w:rPr>
                        </w:pPr>
                      </w:p>
                      <w:p w:rsidR="00BD628A" w:rsidP="002963D0">
                        <w:pPr>
                          <w:autoSpaceDE w:val="0"/>
                          <w:autoSpaceDN w:val="0"/>
                          <w:adjustRightInd w:val="0"/>
                          <w:jc w:val="center"/>
                          <w:rPr>
                            <w:rFonts w:ascii="Liberation Serif" w:hAnsi="Liberation Serif" w:cs="Liberation Serif"/>
                            <w:noProof/>
                            <w:szCs w:val="24"/>
                            <w:lang w:val="en-US"/>
                          </w:rPr>
                        </w:pPr>
                      </w:p>
                    </w:tc>
                    <w:tc>
                      <w:tcPr>
                        <w:tcW w:w="4946" w:type="pct"/>
                        <w:tcBorders>
                          <w:top w:val="single" w:sz="4" w:space="0" w:color="auto"/>
                        </w:tcBorders>
                      </w:tcPr>
                      <w:p w:rsidR="00BD628A" w:rsidP="002963D0">
                        <w:pPr>
                          <w:autoSpaceDE w:val="0"/>
                          <w:autoSpaceDN w:val="0"/>
                          <w:adjustRightInd w:val="0"/>
                          <w:jc w:val="center"/>
                          <w:rPr>
                            <w:rFonts w:ascii="Liberation Serif" w:hAnsi="Liberation Serif" w:cs="Liberation Serif"/>
                            <w:noProof/>
                            <w:szCs w:val="24"/>
                            <w:lang w:val="en-US"/>
                          </w:rPr>
                        </w:pPr>
                        <w:r>
                          <w:rPr>
                            <w:rFonts w:ascii="Liberation Serif" w:hAnsi="Liberation Serif" w:cs="Liberation Serif"/>
                            <w:noProof/>
                            <w:szCs w:val="24"/>
                            <w:lang w:val="en-US"/>
                          </w:rPr>
                          <w:t>наличие</w:t>
                        </w:r>
                      </w:p>
                    </w:tc>
                    <w:tc>
                      <w:tcPr>
                        <w:tcW w:w="27" w:type="pct"/>
                      </w:tcPr>
                      <w:p w:rsidR="00BD628A" w:rsidP="002963D0">
                        <w:pPr>
                          <w:autoSpaceDE w:val="0"/>
                          <w:autoSpaceDN w:val="0"/>
                          <w:adjustRightInd w:val="0"/>
                          <w:jc w:val="center"/>
                          <w:rPr>
                            <w:rFonts w:ascii="Liberation Serif" w:hAnsi="Liberation Serif" w:cs="Liberation Serif"/>
                            <w:noProof/>
                            <w:szCs w:val="24"/>
                            <w:lang w:val="en-US"/>
                          </w:rPr>
                        </w:pPr>
                      </w:p>
                    </w:tc>
                  </w:tr>
                </w:tbl>
                <w:p w:rsidR="00BD628A" w:rsidRPr="00BF182E" w:rsidP="002963D0">
                  <w:pPr>
                    <w:autoSpaceDE w:val="0"/>
                    <w:autoSpaceDN w:val="0"/>
                    <w:adjustRightInd w:val="0"/>
                    <w:spacing w:after="0" w:line="240" w:lineRule="auto"/>
                    <w:jc w:val="center"/>
                    <w:rPr>
                      <w:rFonts w:ascii="Liberation Serif" w:hAnsi="Liberation Serif" w:cs="Liberation Serif"/>
                      <w:bCs/>
                      <w:kern w:val="1"/>
                    </w:rPr>
                  </w:pPr>
                </w:p>
              </w:tc>
              <w:tc>
                <w:tcPr>
                  <w:tcW w:w="2126" w:type="dxa"/>
                  <w:tcBorders>
                    <w:top w:val="nil"/>
                    <w:bottom w:val="single" w:sz="4" w:space="0" w:color="auto"/>
                  </w:tcBorders>
                </w:tcPr>
                <w:p w:rsidR="00BD628A" w:rsidP="002963D0">
                  <w:pPr>
                    <w:autoSpaceDE w:val="0"/>
                    <w:autoSpaceDN w:val="0"/>
                    <w:adjustRightInd w:val="0"/>
                    <w:spacing w:after="0" w:line="240" w:lineRule="auto"/>
                    <w:jc w:val="center"/>
                    <w:rPr>
                      <w:rFonts w:ascii="Liberation Serif" w:hAnsi="Liberation Serif" w:cs="Liberation Serif"/>
                      <w:i/>
                      <w:iCs/>
                    </w:rPr>
                  </w:pPr>
                  <w:r>
                    <w:rPr>
                      <w:rFonts w:ascii="Liberation Serif" w:hAnsi="Liberation Serif" w:cs="Liberation Serif"/>
                      <w:i/>
                      <w:iCs/>
                      <w:noProof/>
                      <w:szCs w:val="24"/>
                      <w:lang w:val="en-US"/>
                    </w:rPr>
                    <w:t>В целях</w:t>
                  </w:r>
                  <w:r>
                    <w:rPr>
                      <w:rFonts w:ascii="Liberation Serif" w:hAnsi="Liberation Serif" w:cs="Liberation Serif"/>
                      <w:i/>
                      <w:iCs/>
                      <w:noProof/>
                      <w:szCs w:val="24"/>
                      <w:lang w:val="en-US"/>
                    </w:rPr>
                    <w:t>, необходимости обеспечения взаимодействия закупаемого товара с оборудованием, используемым заказчиком на основании пп.1 п.1 ст.33 Закона о контрактной системе</w:t>
                  </w:r>
                </w:p>
              </w:tc>
              <w:tc>
                <w:tcPr>
                  <w:tcW w:w="2066" w:type="dxa"/>
                  <w:tcBorders>
                    <w:top w:val="nil"/>
                    <w:bottom w:val="single" w:sz="4" w:space="0" w:color="auto"/>
                  </w:tcBorders>
                </w:tcPr>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r>
                    <w:rPr>
                      <w:rFonts w:ascii="Liberation Serif" w:hAnsi="Liberation Serif" w:cs="Liberation Serif"/>
                      <w:i/>
                      <w:iCs/>
                      <w:noProof/>
                      <w:szCs w:val="24"/>
                      <w:lang w:val="en-US"/>
                    </w:rPr>
                    <w:t>Значение характеристики</w:t>
                  </w:r>
                  <w:r>
                    <w:rPr>
                      <w:rFonts w:ascii="Liberation Serif" w:hAnsi="Liberation Serif" w:cs="Liberation Serif"/>
                      <w:i/>
                      <w:iCs/>
                      <w:noProof/>
                      <w:szCs w:val="24"/>
                      <w:lang w:val="en-US"/>
                    </w:rPr>
                    <w:t xml:space="preserve"> не может изменяться участником закупки</w:t>
                  </w:r>
                </w:p>
                <w:p w:rsidR="00BD628A" w:rsidRPr="00DB7270" w:rsidP="002963D0">
                  <w:pPr>
                    <w:autoSpaceDE w:val="0"/>
                    <w:autoSpaceDN w:val="0"/>
                    <w:adjustRightInd w:val="0"/>
                    <w:spacing w:after="0" w:line="240" w:lineRule="auto"/>
                    <w:jc w:val="center"/>
                    <w:rPr>
                      <w:rFonts w:ascii="Liberation Serif" w:hAnsi="Liberation Serif" w:cs="Liberation Serif"/>
                      <w:i/>
                      <w:iCs/>
                      <w:noProof/>
                      <w:szCs w:val="24"/>
                      <w:lang w:val="en-US"/>
                    </w:rPr>
                  </w:pPr>
                </w:p>
              </w:tc>
            </w:tr>
          </w:tbl>
          <w:p w:rsidR="00BD628A" w:rsidRPr="00FE6BC2" w:rsidP="002963D0">
            <w:pPr>
              <w:autoSpaceDE w:val="0"/>
              <w:autoSpaceDN w:val="0"/>
              <w:adjustRightInd w:val="0"/>
              <w:spacing w:after="0" w:line="240" w:lineRule="auto"/>
              <w:rPr>
                <w:rFonts w:ascii="Liberation Serif" w:hAnsi="Liberation Serif" w:cs="Liberation Serif"/>
                <w:i/>
                <w:szCs w:val="24"/>
              </w:rPr>
            </w:pPr>
          </w:p>
        </w:tc>
      </w:tr>
    </w:tbl>
    <w:p w:rsidRPr="006B75D2" w:rsidP="00BD628A">
      <w:pPr>
        <w:pStyle w:val="NoSpacing"/>
        <w:rPr>
          <w:rFonts w:ascii="Liberation Serif" w:hAnsi="Liberation Serif" w:cs="Liberation Serif"/>
        </w:rPr>
      </w:pPr>
    </w:p>
    <w:p w:rsidR="00EB040A" w:rsidRPr="00E5163D" w:rsidP="008B62B4">
      <w:pPr>
        <w:rPr>
          <w:rFonts w:ascii="Liberation Serif" w:hAnsi="Liberation Serif" w:cs="Liberation Serif"/>
          <w:b/>
          <w:szCs w:val="24"/>
        </w:rPr>
      </w:pPr>
    </w:p>
    <w:sectPr w:rsidSect="002E481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7FD4" w:rsidP="00A00184">
      <w:pPr>
        <w:spacing w:after="0" w:line="240" w:lineRule="auto"/>
      </w:pPr>
      <w:r>
        <w:separator/>
      </w:r>
    </w:p>
  </w:footnote>
  <w:footnote w:type="continuationSeparator" w:id="1">
    <w:p w:rsidR="00B97FD4" w:rsidP="00A00184">
      <w:pPr>
        <w:spacing w:after="0" w:line="240" w:lineRule="auto"/>
      </w:pPr>
      <w:r>
        <w:continuationSeparator/>
      </w:r>
    </w:p>
  </w:footnote>
  <w:footnote w:id="2">
    <w:p w:rsidR="00BD628A" w:rsidP="00BD628A">
      <w:pPr>
        <w:pStyle w:val="FootnoteText"/>
        <w:jc w:val="both"/>
      </w:pPr>
      <w:r>
        <w:rPr>
          <w:rStyle w:val="FootnoteReference"/>
        </w:rPr>
        <w:footnoteRef/>
      </w:r>
      <w:r>
        <w:t xml:space="preserve"> </w:t>
      </w:r>
      <w:r>
        <w:rPr>
          <w:rFonts w:ascii="Liberation Serif" w:hAnsi="Liberation Serif" w:cs="Liberation Serif"/>
        </w:rPr>
        <w:t>Информация указывается в соответствии с каталогом товаров, работ, услуг для обеспечения государственных и муниципальных нужд (далее – КТРУ) (при наличии в КТРУ сведений о товаре).</w:t>
      </w:r>
    </w:p>
  </w:footnote>
  <w:footnote w:id="3">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4">
    <w:p w:rsidR="00BD628A" w:rsidP="00BD628A">
      <w:pPr>
        <w:pStyle w:val="FootnoteText"/>
        <w:jc w:val="both"/>
      </w:pPr>
      <w:r>
        <w:rPr>
          <w:rStyle w:val="FootnoteReference"/>
        </w:rPr>
        <w:footnoteRef/>
      </w:r>
      <w:r>
        <w:rPr>
          <w:rFonts w:ascii="Liberation Serif" w:hAnsi="Liberation Serif" w:cs="Liberation Serif"/>
        </w:rPr>
        <w:t xml:space="preserve"> Информация указывается в соответствии с КТРУ (при наличии в КТРУ сведений о товаре).</w:t>
      </w:r>
    </w:p>
  </w:footnote>
  <w:footnote w:id="5">
    <w:p w:rsidR="00BD628A" w:rsidP="00BD628A">
      <w:pPr>
        <w:pStyle w:val="FootnoteText"/>
        <w:jc w:val="both"/>
      </w:pPr>
      <w:r>
        <w:rPr>
          <w:rStyle w:val="FootnoteReference"/>
        </w:rPr>
        <w:footnoteRef/>
      </w:r>
      <w:r>
        <w:rPr>
          <w:rFonts w:ascii="Liberation Serif" w:hAnsi="Liberation Serif" w:cs="Liberation Serif"/>
        </w:rPr>
        <w:t xml:space="preserve"> Указывается код позиции КТРУ, ГОСТ (при наличии в КТРУ, ГОСТ сведений о товаре). В случае, если в позиции КТРУ требования к характеристикам товара не предусмотрены - заказчик должен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указанных в </w:t>
      </w:r>
      <w:r>
        <w:rPr>
          <w:rFonts w:ascii="Liberation Serif" w:hAnsi="Liberation Serif" w:cs="Liberation Serif"/>
        </w:rPr>
        <w:t>пп</w:t>
      </w:r>
      <w:r>
        <w:rPr>
          <w:rFonts w:ascii="Liberation Serif" w:hAnsi="Liberation Serif" w:cs="Liberation Serif"/>
        </w:rPr>
        <w:t xml:space="preserve">. «а», «б» п. 5 Правил использования КТРУ (утв. Постановлением Правительства РФ от 08.02.2017 г. № 145).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81419D-0DA1-4AA5-84C2-B13A6F9C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Calibri" w:ascii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FF8"/>
    <w:rPr>
      <w:rFonts w:ascii="Times New Roman" w:hAnsi="Times New Roman" w:cs="Times New Roman"/>
      <w:sz w:val="24"/>
    </w:rPr>
  </w:style>
  <w:style w:type="paragraph" w:styleId="Heading1">
    <w:name w:val="heading 1"/>
    <w:basedOn w:val="Normal"/>
    <w:next w:val="Normal"/>
    <w:link w:val="1"/>
    <w:uiPriority w:val="9"/>
    <w:qFormat/>
    <w:rsid w:val="007F7E0C"/>
    <w:pPr>
      <w:keepNext/>
      <w:keepLines/>
      <w:spacing w:after="0" w:line="240" w:lineRule="auto"/>
      <w:outlineLvl w:val="0"/>
    </w:pPr>
    <w:rPr>
      <w:rFonts w:eastAsiaTheme="majorEastAsia" w:cstheme="majorBidi"/>
      <w:b/>
      <w:bCs/>
      <w:sz w:val="32"/>
      <w:szCs w:val="28"/>
    </w:rPr>
  </w:style>
  <w:style w:type="paragraph" w:styleId="Heading2">
    <w:name w:val="heading 2"/>
    <w:basedOn w:val="Normal"/>
    <w:next w:val="Normal"/>
    <w:link w:val="2"/>
    <w:uiPriority w:val="9"/>
    <w:semiHidden/>
    <w:unhideWhenUsed/>
    <w:qFormat/>
    <w:rsid w:val="007F7E0C"/>
    <w:pPr>
      <w:keepNext/>
      <w:keepLines/>
      <w:spacing w:before="200" w:after="0" w:line="240" w:lineRule="auto"/>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F7E0C"/>
    <w:rPr>
      <w:rFonts w:ascii="Times New Roman" w:hAnsi="Times New Roman" w:eastAsiaTheme="majorEastAsia" w:cstheme="majorBidi"/>
      <w:b/>
      <w:bCs/>
      <w:sz w:val="32"/>
      <w:szCs w:val="28"/>
    </w:rPr>
  </w:style>
  <w:style w:type="character" w:customStyle="1" w:styleId="2">
    <w:name w:val="Заголовок 2 Знак"/>
    <w:basedOn w:val="DefaultParagraphFont"/>
    <w:link w:val="Heading2"/>
    <w:uiPriority w:val="9"/>
    <w:semiHidden/>
    <w:rsid w:val="007F7E0C"/>
    <w:rPr>
      <w:rFonts w:ascii="Times New Roman" w:hAnsi="Times New Roman" w:eastAsiaTheme="majorEastAsia" w:cstheme="majorBidi"/>
      <w:b/>
      <w:bCs/>
      <w:sz w:val="24"/>
      <w:szCs w:val="26"/>
    </w:rPr>
  </w:style>
  <w:style w:type="table" w:styleId="TableGrid">
    <w:name w:val="Table Grid"/>
    <w:basedOn w:val="TableNormal"/>
    <w:uiPriority w:val="59"/>
    <w:rsid w:val="0057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semiHidden/>
    <w:unhideWhenUsed/>
    <w:rsid w:val="00A0018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A00184"/>
    <w:rPr>
      <w:rFonts w:ascii="Times New Roman" w:hAnsi="Times New Roman" w:cs="Times New Roman"/>
      <w:sz w:val="24"/>
    </w:rPr>
  </w:style>
  <w:style w:type="paragraph" w:styleId="Footer">
    <w:name w:val="footer"/>
    <w:basedOn w:val="Normal"/>
    <w:link w:val="a0"/>
    <w:uiPriority w:val="99"/>
    <w:semiHidden/>
    <w:unhideWhenUsed/>
    <w:rsid w:val="00A001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A00184"/>
    <w:rPr>
      <w:rFonts w:ascii="Times New Roman" w:hAnsi="Times New Roman" w:cs="Times New Roman"/>
      <w:sz w:val="24"/>
    </w:rPr>
  </w:style>
  <w:style w:type="paragraph" w:styleId="NoSpacing">
    <w:name w:val="No Spacing"/>
    <w:uiPriority w:val="1"/>
    <w:qFormat/>
    <w:rsid w:val="00A00184"/>
    <w:pPr>
      <w:spacing w:after="0" w:line="240" w:lineRule="auto"/>
    </w:pPr>
    <w:rPr>
      <w:rFonts w:ascii="Calibri" w:hAnsi="Calibri" w:cs="Times New Roman"/>
    </w:rPr>
  </w:style>
  <w:style w:type="paragraph" w:styleId="FootnoteText">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Normal"/>
    <w:link w:val="a1"/>
    <w:unhideWhenUsed/>
    <w:rsid w:val="005B2745"/>
    <w:pPr>
      <w:spacing w:after="0" w:line="240" w:lineRule="auto"/>
    </w:pPr>
    <w:rPr>
      <w:rFonts w:asciiTheme="minorHAnsi" w:eastAsiaTheme="minorHAnsi" w:hAnsiTheme="minorHAnsi" w:cstheme="minorBidi"/>
      <w:sz w:val="20"/>
      <w:szCs w:val="20"/>
    </w:rPr>
  </w:style>
  <w:style w:type="character" w:customStyle="1" w:styleId="a1">
    <w:name w:val="Текст сноски Знак"/>
    <w:aliases w:val=" Знак Знак Знак Знак Знак Знак Знак, Знак Знак Знак Знак Знак Знак1, Знак Знак Знак Знак Знак1 Знак, Знак Знак Знак Знак Знак2, Знак Знак Знак Знак1 Знак,Знак Знак Знак Знак Знак Знак Знак,Знак Знак Знак Знак1 Знак"/>
    <w:basedOn w:val="DefaultParagraphFont"/>
    <w:link w:val="FootnoteText"/>
    <w:rsid w:val="005B2745"/>
    <w:rPr>
      <w:rFonts w:eastAsiaTheme="minorHAnsi"/>
      <w:sz w:val="20"/>
      <w:szCs w:val="20"/>
    </w:rPr>
  </w:style>
  <w:style w:type="character" w:styleId="FootnoteReference">
    <w:name w:val="footnote reference"/>
    <w:basedOn w:val="DefaultParagraphFont"/>
    <w:unhideWhenUsed/>
    <w:rsid w:val="005B2745"/>
    <w:rPr>
      <w:vertAlign w:val="superscript"/>
    </w:rPr>
  </w:style>
  <w:style w:type="paragraph" w:customStyle="1" w:styleId="ConsPlusNormal">
    <w:name w:val="ConsPlusNormal"/>
    <w:link w:val="ConsPlusNormal0"/>
    <w:rsid w:val="00A63F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63F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liev\Downloads\TZMedRashodka_KTRU.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TZMedRashodka_KTRU.dotx</Template>
  <TotalTime>2062</TotalTime>
  <Pages>5</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 Дмитрий</dc:creator>
  <cp:lastModifiedBy>Осин Андрей</cp:lastModifiedBy>
  <cp:revision>71</cp:revision>
  <dcterms:created xsi:type="dcterms:W3CDTF">2023-05-29T19:08:00Z</dcterms:created>
  <dcterms:modified xsi:type="dcterms:W3CDTF">2023-11-17T04:43:00Z</dcterms:modified>
</cp:coreProperties>
</file>