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F7" w:rsidRPr="00337B41" w:rsidRDefault="004154F7" w:rsidP="004154F7">
      <w:pPr>
        <w:jc w:val="center"/>
        <w:rPr>
          <w:b/>
          <w:sz w:val="20"/>
          <w:szCs w:val="20"/>
          <w:u w:val="single"/>
          <w:lang w:eastAsia="en-US"/>
        </w:rPr>
      </w:pPr>
      <w:r w:rsidRPr="00337B41">
        <w:rPr>
          <w:b/>
          <w:sz w:val="20"/>
          <w:szCs w:val="20"/>
          <w:u w:val="single"/>
          <w:lang w:eastAsia="en-US"/>
        </w:rPr>
        <w:t xml:space="preserve"> «ОБОСНОВАНИЕ НАЧАЛЬНОЙ (МАКСИМАЛЬНОЙ) ЦЕНЫ КОНТРАКТА»</w:t>
      </w:r>
    </w:p>
    <w:p w:rsidR="004154F7" w:rsidRPr="00337B41" w:rsidRDefault="004154F7" w:rsidP="004154F7">
      <w:pPr>
        <w:jc w:val="center"/>
        <w:rPr>
          <w:b/>
          <w:sz w:val="20"/>
          <w:szCs w:val="20"/>
          <w:u w:val="single"/>
          <w:lang w:eastAsia="en-US"/>
        </w:rPr>
      </w:pPr>
    </w:p>
    <w:p w:rsidR="00D14FE2" w:rsidRPr="00337B41" w:rsidRDefault="004154F7" w:rsidP="001B5F39">
      <w:pPr>
        <w:pStyle w:val="a4"/>
        <w:numPr>
          <w:ilvl w:val="0"/>
          <w:numId w:val="1"/>
        </w:numPr>
        <w:rPr>
          <w:sz w:val="20"/>
          <w:szCs w:val="20"/>
        </w:rPr>
      </w:pPr>
      <w:r w:rsidRPr="00337B41">
        <w:rPr>
          <w:sz w:val="20"/>
          <w:szCs w:val="20"/>
        </w:rPr>
        <w:t>Предмет контрак</w:t>
      </w:r>
      <w:r w:rsidR="008D0BAC" w:rsidRPr="00337B41">
        <w:rPr>
          <w:sz w:val="20"/>
          <w:szCs w:val="20"/>
        </w:rPr>
        <w:t>та (договора) –</w:t>
      </w:r>
      <w:r w:rsidR="007D22DB" w:rsidRPr="00337B41">
        <w:rPr>
          <w:sz w:val="20"/>
          <w:szCs w:val="20"/>
        </w:rPr>
        <w:t xml:space="preserve"> </w:t>
      </w:r>
      <w:r w:rsidR="00337B41" w:rsidRPr="00337B41">
        <w:rPr>
          <w:sz w:val="20"/>
          <w:szCs w:val="20"/>
        </w:rPr>
        <w:t>поставка товара (</w:t>
      </w:r>
      <w:r w:rsidR="00F50806">
        <w:rPr>
          <w:sz w:val="20"/>
          <w:szCs w:val="20"/>
        </w:rPr>
        <w:t>предметы по уходу за больными</w:t>
      </w:r>
      <w:r w:rsidR="00337B41" w:rsidRPr="00337B41">
        <w:rPr>
          <w:sz w:val="20"/>
          <w:szCs w:val="20"/>
        </w:rPr>
        <w:t>)</w:t>
      </w:r>
    </w:p>
    <w:p w:rsidR="004154F7" w:rsidRPr="00337B41" w:rsidRDefault="004154F7" w:rsidP="004154F7">
      <w:pPr>
        <w:numPr>
          <w:ilvl w:val="0"/>
          <w:numId w:val="1"/>
        </w:numPr>
        <w:rPr>
          <w:sz w:val="20"/>
          <w:szCs w:val="20"/>
        </w:rPr>
      </w:pPr>
      <w:r w:rsidRPr="00337B41">
        <w:rPr>
          <w:sz w:val="20"/>
          <w:szCs w:val="20"/>
        </w:rPr>
        <w:t>Используемый метод определения НМЦК – метод сопоставимых рыночных цен (анализа рынка)</w:t>
      </w:r>
    </w:p>
    <w:p w:rsidR="006A0E76" w:rsidRPr="00337B41" w:rsidRDefault="004154F7" w:rsidP="0005514D">
      <w:pPr>
        <w:numPr>
          <w:ilvl w:val="0"/>
          <w:numId w:val="1"/>
        </w:numPr>
        <w:tabs>
          <w:tab w:val="left" w:pos="5954"/>
        </w:tabs>
        <w:rPr>
          <w:sz w:val="20"/>
          <w:szCs w:val="20"/>
        </w:rPr>
      </w:pPr>
      <w:r w:rsidRPr="00337B41">
        <w:rPr>
          <w:sz w:val="20"/>
          <w:szCs w:val="20"/>
        </w:rPr>
        <w:t>Расчет НМЦК</w:t>
      </w:r>
    </w:p>
    <w:p w:rsidR="004154F7" w:rsidRDefault="006A0E76" w:rsidP="006A0E76">
      <w:pPr>
        <w:ind w:left="720"/>
        <w:rPr>
          <w:sz w:val="20"/>
          <w:szCs w:val="20"/>
        </w:rPr>
      </w:pPr>
      <w:r w:rsidRPr="00337B41">
        <w:rPr>
          <w:sz w:val="20"/>
          <w:szCs w:val="20"/>
        </w:rPr>
        <w:t>И</w:t>
      </w:r>
      <w:r w:rsidR="004154F7" w:rsidRPr="00337B41">
        <w:rPr>
          <w:sz w:val="20"/>
          <w:szCs w:val="20"/>
        </w:rPr>
        <w:t>источниками информации о цене товара, требуемого к поставке, являются коммерческие предложения поставщиков (исполнителей, подрядчиков) с учетом всех затрат на поставку товара, оказание услуг, выполнение работ в соответствии со сравнительной таблицей:</w:t>
      </w:r>
    </w:p>
    <w:tbl>
      <w:tblPr>
        <w:tblW w:w="15085" w:type="dxa"/>
        <w:tblInd w:w="93" w:type="dxa"/>
        <w:tblLook w:val="04A0"/>
      </w:tblPr>
      <w:tblGrid>
        <w:gridCol w:w="456"/>
        <w:gridCol w:w="2187"/>
        <w:gridCol w:w="6586"/>
        <w:gridCol w:w="723"/>
        <w:gridCol w:w="611"/>
        <w:gridCol w:w="986"/>
        <w:gridCol w:w="1021"/>
        <w:gridCol w:w="986"/>
        <w:gridCol w:w="827"/>
        <w:gridCol w:w="896"/>
      </w:tblGrid>
      <w:tr w:rsidR="00F50806" w:rsidRPr="00F50806" w:rsidTr="00F50806">
        <w:trPr>
          <w:trHeight w:val="705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rPr>
                <w:rFonts w:ascii="Arial" w:hAnsi="Arial" w:cs="Arial"/>
                <w:sz w:val="16"/>
                <w:szCs w:val="16"/>
              </w:rPr>
            </w:pPr>
            <w:r w:rsidRPr="00F50806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sz w:val="16"/>
                <w:szCs w:val="16"/>
              </w:rPr>
            </w:pPr>
            <w:r w:rsidRPr="00F50806">
              <w:rPr>
                <w:sz w:val="16"/>
                <w:szCs w:val="16"/>
              </w:rPr>
              <w:t>Наименование товара</w:t>
            </w:r>
          </w:p>
        </w:tc>
        <w:tc>
          <w:tcPr>
            <w:tcW w:w="6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sz w:val="16"/>
                <w:szCs w:val="16"/>
              </w:rPr>
            </w:pPr>
            <w:r w:rsidRPr="00F50806">
              <w:rPr>
                <w:sz w:val="16"/>
                <w:szCs w:val="16"/>
              </w:rPr>
              <w:t>Описание характеристики объекта закупки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sz w:val="16"/>
                <w:szCs w:val="16"/>
              </w:rPr>
            </w:pPr>
            <w:proofErr w:type="spellStart"/>
            <w:r w:rsidRPr="00F50806">
              <w:rPr>
                <w:sz w:val="16"/>
                <w:szCs w:val="16"/>
              </w:rPr>
              <w:t>Ед</w:t>
            </w:r>
            <w:proofErr w:type="gramStart"/>
            <w:r w:rsidRPr="00F50806">
              <w:rPr>
                <w:sz w:val="16"/>
                <w:szCs w:val="16"/>
              </w:rPr>
              <w:t>.и</w:t>
            </w:r>
            <w:proofErr w:type="gramEnd"/>
            <w:r w:rsidRPr="00F50806">
              <w:rPr>
                <w:sz w:val="16"/>
                <w:szCs w:val="16"/>
              </w:rPr>
              <w:t>зм</w:t>
            </w:r>
            <w:proofErr w:type="spellEnd"/>
            <w:r w:rsidRPr="00F50806">
              <w:rPr>
                <w:sz w:val="16"/>
                <w:szCs w:val="16"/>
              </w:rPr>
              <w:t xml:space="preserve"> 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sz w:val="16"/>
                <w:szCs w:val="16"/>
              </w:rPr>
            </w:pPr>
            <w:r w:rsidRPr="00F50806">
              <w:rPr>
                <w:sz w:val="16"/>
                <w:szCs w:val="16"/>
              </w:rPr>
              <w:t>Кол.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sz w:val="16"/>
                <w:szCs w:val="16"/>
              </w:rPr>
            </w:pPr>
            <w:r w:rsidRPr="00F50806">
              <w:rPr>
                <w:sz w:val="16"/>
                <w:szCs w:val="16"/>
              </w:rPr>
              <w:t>Поставщик № 1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sz w:val="16"/>
                <w:szCs w:val="16"/>
              </w:rPr>
            </w:pPr>
            <w:r w:rsidRPr="00F50806">
              <w:rPr>
                <w:sz w:val="16"/>
                <w:szCs w:val="16"/>
              </w:rPr>
              <w:t>Поставщик № 2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sz w:val="16"/>
                <w:szCs w:val="16"/>
              </w:rPr>
            </w:pPr>
            <w:r w:rsidRPr="00F50806">
              <w:rPr>
                <w:sz w:val="16"/>
                <w:szCs w:val="16"/>
              </w:rPr>
              <w:t>Поставщик № 3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средняя цена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sz w:val="16"/>
                <w:szCs w:val="16"/>
              </w:rPr>
            </w:pPr>
            <w:r w:rsidRPr="00F50806">
              <w:rPr>
                <w:sz w:val="16"/>
                <w:szCs w:val="16"/>
              </w:rPr>
              <w:t>Сумма</w:t>
            </w:r>
          </w:p>
        </w:tc>
      </w:tr>
      <w:tr w:rsidR="00F50806" w:rsidRPr="00F50806" w:rsidTr="00F50806">
        <w:trPr>
          <w:trHeight w:val="255"/>
        </w:trPr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806" w:rsidRPr="00F50806" w:rsidRDefault="00F50806" w:rsidP="00F5080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806" w:rsidRPr="00F50806" w:rsidRDefault="00F50806" w:rsidP="00F5080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0806" w:rsidRPr="00F50806" w:rsidRDefault="00F50806" w:rsidP="00F5080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06" w:rsidRPr="00F50806" w:rsidRDefault="00F50806" w:rsidP="00F5080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06" w:rsidRPr="00F50806" w:rsidRDefault="00F50806" w:rsidP="00F5080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806" w:rsidRPr="00F50806" w:rsidRDefault="00F50806" w:rsidP="00F5080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806" w:rsidRPr="00F50806" w:rsidRDefault="00F50806" w:rsidP="00F5080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806" w:rsidRPr="00F50806" w:rsidRDefault="00F50806" w:rsidP="00F5080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06" w:rsidRPr="00F50806" w:rsidRDefault="00F50806" w:rsidP="00F50806">
            <w:pPr>
              <w:jc w:val="left"/>
              <w:rPr>
                <w:sz w:val="16"/>
                <w:szCs w:val="16"/>
              </w:rPr>
            </w:pPr>
          </w:p>
        </w:tc>
      </w:tr>
      <w:tr w:rsidR="00F50806" w:rsidRPr="00F50806" w:rsidTr="00F50806">
        <w:trPr>
          <w:trHeight w:val="184"/>
        </w:trPr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806" w:rsidRPr="00F50806" w:rsidRDefault="00F50806" w:rsidP="00F5080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806" w:rsidRPr="00F50806" w:rsidRDefault="00F50806" w:rsidP="00F5080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0806" w:rsidRPr="00F50806" w:rsidRDefault="00F50806" w:rsidP="00F5080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06" w:rsidRPr="00F50806" w:rsidRDefault="00F50806" w:rsidP="00F5080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06" w:rsidRPr="00F50806" w:rsidRDefault="00F50806" w:rsidP="00F5080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806" w:rsidRPr="00F50806" w:rsidRDefault="00F50806" w:rsidP="00F5080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806" w:rsidRPr="00F50806" w:rsidRDefault="00F50806" w:rsidP="00F5080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806" w:rsidRPr="00F50806" w:rsidRDefault="00F50806" w:rsidP="00F5080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06" w:rsidRPr="00F50806" w:rsidRDefault="00F50806" w:rsidP="00F50806">
            <w:pPr>
              <w:jc w:val="left"/>
              <w:rPr>
                <w:sz w:val="16"/>
                <w:szCs w:val="16"/>
              </w:rPr>
            </w:pPr>
          </w:p>
        </w:tc>
      </w:tr>
      <w:tr w:rsidR="00F50806" w:rsidRPr="00F50806" w:rsidTr="00F50806">
        <w:trPr>
          <w:trHeight w:val="156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 xml:space="preserve">Кружка </w:t>
            </w:r>
            <w:proofErr w:type="spellStart"/>
            <w:r w:rsidRPr="00F50806">
              <w:rPr>
                <w:color w:val="000000"/>
                <w:sz w:val="16"/>
                <w:szCs w:val="16"/>
              </w:rPr>
              <w:t>Эсмарха</w:t>
            </w:r>
            <w:proofErr w:type="spellEnd"/>
            <w:r w:rsidRPr="00F50806">
              <w:rPr>
                <w:color w:val="000000"/>
                <w:sz w:val="16"/>
                <w:szCs w:val="16"/>
              </w:rPr>
              <w:t xml:space="preserve"> одноразовая, стер. 1,75 л 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proofErr w:type="gramStart"/>
            <w:r w:rsidRPr="00F50806">
              <w:rPr>
                <w:color w:val="000000"/>
                <w:sz w:val="16"/>
                <w:szCs w:val="16"/>
              </w:rPr>
              <w:t xml:space="preserve">Кружка </w:t>
            </w:r>
            <w:proofErr w:type="spellStart"/>
            <w:r w:rsidRPr="00F50806">
              <w:rPr>
                <w:color w:val="000000"/>
                <w:sz w:val="16"/>
                <w:szCs w:val="16"/>
              </w:rPr>
              <w:t>Эсмарха</w:t>
            </w:r>
            <w:proofErr w:type="spellEnd"/>
            <w:r w:rsidRPr="00F50806">
              <w:rPr>
                <w:color w:val="000000"/>
                <w:sz w:val="16"/>
                <w:szCs w:val="16"/>
              </w:rPr>
              <w:t xml:space="preserve">, из прозрачного полиэтилена, трубка из </w:t>
            </w:r>
            <w:proofErr w:type="spellStart"/>
            <w:r w:rsidRPr="00F50806">
              <w:rPr>
                <w:color w:val="000000"/>
                <w:sz w:val="16"/>
                <w:szCs w:val="16"/>
              </w:rPr>
              <w:t>имплантационно-нетоксичного</w:t>
            </w:r>
            <w:proofErr w:type="spellEnd"/>
            <w:r w:rsidRPr="00F50806">
              <w:rPr>
                <w:color w:val="000000"/>
                <w:sz w:val="16"/>
                <w:szCs w:val="16"/>
              </w:rPr>
              <w:t xml:space="preserve">, термопластичного ПВХ, емкость кружки не менее 1,75 л, градуировка на мешке от 50 мл, цена деления 100 мл, длина соединительной трубки не менее 1,3 м, 20 </w:t>
            </w:r>
            <w:proofErr w:type="spellStart"/>
            <w:r w:rsidRPr="00F50806">
              <w:rPr>
                <w:color w:val="000000"/>
                <w:sz w:val="16"/>
                <w:szCs w:val="16"/>
              </w:rPr>
              <w:t>Ch</w:t>
            </w:r>
            <w:proofErr w:type="spellEnd"/>
            <w:r w:rsidRPr="00F50806">
              <w:rPr>
                <w:color w:val="000000"/>
                <w:sz w:val="16"/>
                <w:szCs w:val="16"/>
              </w:rPr>
              <w:t xml:space="preserve">, дистальный конец трубки закругленный, </w:t>
            </w:r>
            <w:proofErr w:type="spellStart"/>
            <w:r w:rsidRPr="00F50806">
              <w:rPr>
                <w:color w:val="000000"/>
                <w:sz w:val="16"/>
                <w:szCs w:val="16"/>
              </w:rPr>
              <w:t>атравматичный</w:t>
            </w:r>
            <w:proofErr w:type="spellEnd"/>
            <w:r w:rsidRPr="00F50806">
              <w:rPr>
                <w:color w:val="000000"/>
                <w:sz w:val="16"/>
                <w:szCs w:val="16"/>
              </w:rPr>
              <w:t>, обработан силиконовой смазкой и закрыт колпачком, торцевое отверстие диаметром 0,5 см и дополнительное боковое отверстие на расстоянии 2,5 см от</w:t>
            </w:r>
            <w:proofErr w:type="gramEnd"/>
            <w:r w:rsidRPr="00F50806">
              <w:rPr>
                <w:color w:val="000000"/>
                <w:sz w:val="16"/>
                <w:szCs w:val="16"/>
              </w:rPr>
              <w:t xml:space="preserve"> дистального конца, на трубке имеется запорный механизм, горловина мешка имеет плотную крышку, наличие уплотнительных колец для подвешивания на стойке, может использоваться для орошений влагалища и спринцеваний, не содержит </w:t>
            </w:r>
            <w:proofErr w:type="spellStart"/>
            <w:r w:rsidRPr="00F50806">
              <w:rPr>
                <w:color w:val="000000"/>
                <w:sz w:val="16"/>
                <w:szCs w:val="16"/>
              </w:rPr>
              <w:t>фталатов</w:t>
            </w:r>
            <w:proofErr w:type="spellEnd"/>
            <w:r w:rsidRPr="00F50806">
              <w:rPr>
                <w:color w:val="000000"/>
                <w:sz w:val="16"/>
                <w:szCs w:val="16"/>
              </w:rPr>
              <w:t xml:space="preserve">. Индивидуальная стерильная упаковка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50806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183,60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156,40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17000,00</w:t>
            </w:r>
          </w:p>
        </w:tc>
      </w:tr>
      <w:tr w:rsidR="00F50806" w:rsidRPr="00F50806" w:rsidTr="00F50806">
        <w:trPr>
          <w:trHeight w:val="17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 xml:space="preserve">Кружка </w:t>
            </w:r>
            <w:proofErr w:type="spellStart"/>
            <w:r w:rsidRPr="00F50806">
              <w:rPr>
                <w:color w:val="000000"/>
                <w:sz w:val="16"/>
                <w:szCs w:val="16"/>
              </w:rPr>
              <w:t>Эсмарха</w:t>
            </w:r>
            <w:proofErr w:type="spellEnd"/>
            <w:r w:rsidRPr="00F50806">
              <w:rPr>
                <w:color w:val="000000"/>
                <w:sz w:val="16"/>
                <w:szCs w:val="16"/>
              </w:rPr>
              <w:t xml:space="preserve"> одноразовая, стер. 1,5 л 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proofErr w:type="gramStart"/>
            <w:r w:rsidRPr="00F50806">
              <w:rPr>
                <w:color w:val="000000"/>
                <w:sz w:val="16"/>
                <w:szCs w:val="16"/>
              </w:rPr>
              <w:t xml:space="preserve">Кружка </w:t>
            </w:r>
            <w:proofErr w:type="spellStart"/>
            <w:r w:rsidRPr="00F50806">
              <w:rPr>
                <w:color w:val="000000"/>
                <w:sz w:val="16"/>
                <w:szCs w:val="16"/>
              </w:rPr>
              <w:t>Эсмарха</w:t>
            </w:r>
            <w:proofErr w:type="spellEnd"/>
            <w:r w:rsidRPr="00F50806">
              <w:rPr>
                <w:color w:val="000000"/>
                <w:sz w:val="16"/>
                <w:szCs w:val="16"/>
              </w:rPr>
              <w:t xml:space="preserve">, из прозрачного полиэтилена, трубка из </w:t>
            </w:r>
            <w:proofErr w:type="spellStart"/>
            <w:r w:rsidRPr="00F50806">
              <w:rPr>
                <w:color w:val="000000"/>
                <w:sz w:val="16"/>
                <w:szCs w:val="16"/>
              </w:rPr>
              <w:t>имплантационно-нетоксичного</w:t>
            </w:r>
            <w:proofErr w:type="spellEnd"/>
            <w:r w:rsidRPr="00F50806">
              <w:rPr>
                <w:color w:val="000000"/>
                <w:sz w:val="16"/>
                <w:szCs w:val="16"/>
              </w:rPr>
              <w:t xml:space="preserve">, термопластичного ПВХ, емкость кружки не менее 1,5 л, градуировка на мешке от 50 мл, цена деления 100 мл, длина соединительной трубки не менее 1,3 м, 20 </w:t>
            </w:r>
            <w:proofErr w:type="spellStart"/>
            <w:r w:rsidRPr="00F50806">
              <w:rPr>
                <w:color w:val="000000"/>
                <w:sz w:val="16"/>
                <w:szCs w:val="16"/>
              </w:rPr>
              <w:t>Ch</w:t>
            </w:r>
            <w:proofErr w:type="spellEnd"/>
            <w:r w:rsidRPr="00F50806">
              <w:rPr>
                <w:color w:val="000000"/>
                <w:sz w:val="16"/>
                <w:szCs w:val="16"/>
              </w:rPr>
              <w:t xml:space="preserve">, дистальный конец трубки закругленный, </w:t>
            </w:r>
            <w:proofErr w:type="spellStart"/>
            <w:r w:rsidRPr="00F50806">
              <w:rPr>
                <w:color w:val="000000"/>
                <w:sz w:val="16"/>
                <w:szCs w:val="16"/>
              </w:rPr>
              <w:t>атравматичный</w:t>
            </w:r>
            <w:proofErr w:type="spellEnd"/>
            <w:r w:rsidRPr="00F50806">
              <w:rPr>
                <w:color w:val="000000"/>
                <w:sz w:val="16"/>
                <w:szCs w:val="16"/>
              </w:rPr>
              <w:t>, обработан силиконовой смазкой и закрыт колпачком, торцевое отверстие диаметром 0,5 см и дополнительное боковое отверстие на расстоянии 2,5 см от</w:t>
            </w:r>
            <w:proofErr w:type="gramEnd"/>
            <w:r w:rsidRPr="00F50806">
              <w:rPr>
                <w:color w:val="000000"/>
                <w:sz w:val="16"/>
                <w:szCs w:val="16"/>
              </w:rPr>
              <w:t xml:space="preserve"> дистального конца, на трубке имеется запорный механизм, горловина мешка имеет плотную крышку, наличие уплотнительных колец для подвешивания на стойке, может использоваться для орошений влагалища и спринцеваний, не содержит </w:t>
            </w:r>
            <w:proofErr w:type="spellStart"/>
            <w:r w:rsidRPr="00F50806">
              <w:rPr>
                <w:color w:val="000000"/>
                <w:sz w:val="16"/>
                <w:szCs w:val="16"/>
              </w:rPr>
              <w:t>фталатов</w:t>
            </w:r>
            <w:proofErr w:type="spellEnd"/>
            <w:r w:rsidRPr="00F50806">
              <w:rPr>
                <w:color w:val="000000"/>
                <w:sz w:val="16"/>
                <w:szCs w:val="16"/>
              </w:rPr>
              <w:t xml:space="preserve">. Индивидуальная стерильная упаковка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50806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165,00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178,20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151,80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165,00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16500,00</w:t>
            </w:r>
          </w:p>
        </w:tc>
      </w:tr>
      <w:tr w:rsidR="00F50806" w:rsidRPr="00F50806" w:rsidTr="00F50806">
        <w:trPr>
          <w:trHeight w:val="10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 xml:space="preserve">Мочеприемник 2,0л с </w:t>
            </w:r>
            <w:proofErr w:type="spellStart"/>
            <w:r w:rsidRPr="00F50806">
              <w:rPr>
                <w:color w:val="000000"/>
                <w:sz w:val="16"/>
                <w:szCs w:val="16"/>
              </w:rPr>
              <w:t>клапаном</w:t>
            </w:r>
            <w:proofErr w:type="gramStart"/>
            <w:r w:rsidRPr="00F50806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F50806">
              <w:rPr>
                <w:color w:val="000000"/>
                <w:sz w:val="16"/>
                <w:szCs w:val="16"/>
              </w:rPr>
              <w:t>ливом,прикроват</w:t>
            </w:r>
            <w:proofErr w:type="spellEnd"/>
            <w:r w:rsidRPr="00F50806">
              <w:rPr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proofErr w:type="gramStart"/>
            <w:r w:rsidRPr="00F50806">
              <w:rPr>
                <w:color w:val="000000"/>
                <w:sz w:val="16"/>
                <w:szCs w:val="16"/>
              </w:rPr>
              <w:t xml:space="preserve">Мочеприемник прикроватный объемом не менее 2000 мл, изготовлен из мягкого ПВХ, длина трубки 90±2 см, на конце трубки конической формы </w:t>
            </w:r>
            <w:proofErr w:type="spellStart"/>
            <w:r w:rsidRPr="00F50806">
              <w:rPr>
                <w:color w:val="000000"/>
                <w:sz w:val="16"/>
                <w:szCs w:val="16"/>
              </w:rPr>
              <w:t>коннектор</w:t>
            </w:r>
            <w:proofErr w:type="spellEnd"/>
            <w:r w:rsidRPr="00F50806">
              <w:rPr>
                <w:color w:val="000000"/>
                <w:sz w:val="16"/>
                <w:szCs w:val="16"/>
              </w:rPr>
              <w:t xml:space="preserve"> с колпачком, идеально подходящий к любому размеру и типу катетера, цена деления градуировки 100 мл, имеются уплотненные кольца для крепления мочеприемника, снабжен </w:t>
            </w:r>
            <w:proofErr w:type="spellStart"/>
            <w:r w:rsidRPr="00F50806">
              <w:rPr>
                <w:color w:val="000000"/>
                <w:sz w:val="16"/>
                <w:szCs w:val="16"/>
              </w:rPr>
              <w:t>антивозвратным</w:t>
            </w:r>
            <w:proofErr w:type="spellEnd"/>
            <w:r w:rsidRPr="00F50806">
              <w:rPr>
                <w:color w:val="000000"/>
                <w:sz w:val="16"/>
                <w:szCs w:val="16"/>
              </w:rPr>
              <w:t xml:space="preserve"> клапаном, винтовой спускной кран на дне мешка, одноразового использования, индивидуальная упаковка  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50806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1660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37,80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32,20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58100,00</w:t>
            </w:r>
          </w:p>
        </w:tc>
      </w:tr>
      <w:tr w:rsidR="00F50806" w:rsidRPr="00F50806" w:rsidTr="00F50806">
        <w:trPr>
          <w:trHeight w:val="16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Мочеприемник детский V-0.1л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Мочеприемник детский, для отбора проб мочи у детей первого года жизни,</w:t>
            </w:r>
            <w:r w:rsidRPr="00F50806">
              <w:rPr>
                <w:color w:val="000000"/>
                <w:sz w:val="16"/>
                <w:szCs w:val="16"/>
              </w:rPr>
              <w:br/>
              <w:t>универсальный - для мальчиков и девочек. Резервуар - мягкий полиэтиленовый, объем резервуара не более 100мл. Измерительная шкала на резервуаре  цена деления 10мл.</w:t>
            </w:r>
            <w:r w:rsidRPr="00F50806">
              <w:rPr>
                <w:color w:val="000000"/>
                <w:sz w:val="16"/>
                <w:szCs w:val="16"/>
              </w:rPr>
              <w:br/>
              <w:t xml:space="preserve">Губка мягкая покрытая слоем </w:t>
            </w:r>
            <w:proofErr w:type="spellStart"/>
            <w:r w:rsidRPr="00F50806">
              <w:rPr>
                <w:color w:val="000000"/>
                <w:sz w:val="16"/>
                <w:szCs w:val="16"/>
              </w:rPr>
              <w:t>гипоалергенного</w:t>
            </w:r>
            <w:proofErr w:type="spellEnd"/>
            <w:r w:rsidRPr="00F5080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806">
              <w:rPr>
                <w:color w:val="000000"/>
                <w:sz w:val="16"/>
                <w:szCs w:val="16"/>
              </w:rPr>
              <w:t>адгезива</w:t>
            </w:r>
            <w:proofErr w:type="spellEnd"/>
            <w:r w:rsidRPr="00F50806">
              <w:rPr>
                <w:color w:val="000000"/>
                <w:sz w:val="16"/>
                <w:szCs w:val="16"/>
              </w:rPr>
              <w:t xml:space="preserve">. Защитная пленка - белого цвета. Упаковка  индивидуальная стерильная.  (Качество Товара должно соответствовать установленным для данных видов продукции нормам и требованиям Государственных стандартов (ГОСТ), Техническим условиям (ТУ), и иной нормативно-технической документации.)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50806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1150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9,72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8,28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9,00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10350,00</w:t>
            </w:r>
          </w:p>
        </w:tc>
      </w:tr>
      <w:tr w:rsidR="00F50806" w:rsidRPr="00F50806" w:rsidTr="00F50806">
        <w:trPr>
          <w:trHeight w:val="25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Мочеприемник А</w:t>
            </w:r>
            <w:proofErr w:type="gramStart"/>
            <w:r w:rsidRPr="00F50806">
              <w:rPr>
                <w:color w:val="000000"/>
                <w:sz w:val="16"/>
                <w:szCs w:val="16"/>
              </w:rPr>
              <w:t>4</w:t>
            </w:r>
            <w:proofErr w:type="gramEnd"/>
            <w:r w:rsidRPr="00F50806">
              <w:rPr>
                <w:color w:val="000000"/>
                <w:sz w:val="16"/>
                <w:szCs w:val="16"/>
              </w:rPr>
              <w:t xml:space="preserve"> 2,0л с клапаном, сливом, </w:t>
            </w:r>
            <w:proofErr w:type="spellStart"/>
            <w:r w:rsidRPr="00F50806">
              <w:rPr>
                <w:color w:val="000000"/>
                <w:sz w:val="16"/>
                <w:szCs w:val="16"/>
              </w:rPr>
              <w:t>прикроват</w:t>
            </w:r>
            <w:proofErr w:type="spellEnd"/>
            <w:r w:rsidRPr="00F50806">
              <w:rPr>
                <w:color w:val="000000"/>
                <w:sz w:val="16"/>
                <w:szCs w:val="16"/>
              </w:rPr>
              <w:t>., стер. А</w:t>
            </w:r>
            <w:proofErr w:type="gramStart"/>
            <w:r w:rsidRPr="00F50806">
              <w:rPr>
                <w:color w:val="000000"/>
                <w:sz w:val="16"/>
                <w:szCs w:val="16"/>
              </w:rPr>
              <w:t>4</w:t>
            </w:r>
            <w:proofErr w:type="gramEnd"/>
            <w:r w:rsidRPr="00F50806">
              <w:rPr>
                <w:color w:val="000000"/>
                <w:sz w:val="16"/>
                <w:szCs w:val="16"/>
              </w:rPr>
              <w:t xml:space="preserve"> или эквивалент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 xml:space="preserve">Мочеприемник прикроватный, одноразовый представляет собой стерильную закрытую систему для сбора мочи. Объем сборного мешка не менее 2л. Материал ПВХ. Невозвратный клапан. Кран быстрого </w:t>
            </w:r>
            <w:proofErr w:type="gramStart"/>
            <w:r w:rsidRPr="00F50806">
              <w:rPr>
                <w:color w:val="000000"/>
                <w:sz w:val="16"/>
                <w:szCs w:val="16"/>
              </w:rPr>
              <w:t>слива</w:t>
            </w:r>
            <w:proofErr w:type="gramEnd"/>
            <w:r w:rsidRPr="00F50806">
              <w:rPr>
                <w:color w:val="000000"/>
                <w:sz w:val="16"/>
                <w:szCs w:val="16"/>
              </w:rPr>
              <w:t xml:space="preserve"> смещенный от центра. </w:t>
            </w:r>
            <w:r w:rsidRPr="00F50806">
              <w:rPr>
                <w:color w:val="000000"/>
                <w:sz w:val="16"/>
                <w:szCs w:val="16"/>
              </w:rPr>
              <w:br/>
              <w:t xml:space="preserve">Армированное отверстие для закрепления сливного крана в горизонтальном положении. </w:t>
            </w:r>
            <w:r w:rsidRPr="00F50806">
              <w:rPr>
                <w:color w:val="000000"/>
                <w:sz w:val="16"/>
                <w:szCs w:val="16"/>
              </w:rPr>
              <w:br/>
              <w:t xml:space="preserve">Устройство слива - T-образное, позволяет производить опорожнение одной рукой, без необходимости закрытия крышки.  Приводная трубка – </w:t>
            </w:r>
            <w:proofErr w:type="spellStart"/>
            <w:r w:rsidRPr="00F50806">
              <w:rPr>
                <w:color w:val="000000"/>
                <w:sz w:val="16"/>
                <w:szCs w:val="16"/>
              </w:rPr>
              <w:t>неперекручивающаяся</w:t>
            </w:r>
            <w:proofErr w:type="spellEnd"/>
            <w:r w:rsidRPr="00F50806">
              <w:rPr>
                <w:color w:val="000000"/>
                <w:sz w:val="16"/>
                <w:szCs w:val="16"/>
              </w:rPr>
              <w:t>.</w:t>
            </w:r>
            <w:r w:rsidRPr="00F50806">
              <w:rPr>
                <w:color w:val="000000"/>
                <w:sz w:val="16"/>
                <w:szCs w:val="16"/>
              </w:rPr>
              <w:br/>
              <w:t>Длина приводной трубки не менее 120см. Диаметр приводной трубки наружный/внутренний не менее 9/6мм.</w:t>
            </w:r>
            <w:r w:rsidRPr="00F50806">
              <w:rPr>
                <w:color w:val="000000"/>
                <w:sz w:val="16"/>
                <w:szCs w:val="16"/>
              </w:rPr>
              <w:br/>
            </w:r>
            <w:proofErr w:type="spellStart"/>
            <w:r w:rsidRPr="00F50806">
              <w:rPr>
                <w:color w:val="000000"/>
                <w:sz w:val="16"/>
                <w:szCs w:val="16"/>
              </w:rPr>
              <w:t>Коннектор</w:t>
            </w:r>
            <w:proofErr w:type="spellEnd"/>
            <w:r w:rsidRPr="00F50806">
              <w:rPr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F50806">
              <w:rPr>
                <w:color w:val="000000"/>
                <w:sz w:val="16"/>
                <w:szCs w:val="16"/>
              </w:rPr>
              <w:t>универсальный</w:t>
            </w:r>
            <w:proofErr w:type="gramEnd"/>
            <w:r w:rsidRPr="00F50806">
              <w:rPr>
                <w:color w:val="000000"/>
                <w:sz w:val="16"/>
                <w:szCs w:val="16"/>
              </w:rPr>
              <w:t xml:space="preserve">, закрытый </w:t>
            </w:r>
            <w:proofErr w:type="spellStart"/>
            <w:r w:rsidRPr="00F50806">
              <w:rPr>
                <w:color w:val="000000"/>
                <w:sz w:val="16"/>
                <w:szCs w:val="16"/>
              </w:rPr>
              <w:t>специальнм</w:t>
            </w:r>
            <w:proofErr w:type="spellEnd"/>
            <w:r w:rsidRPr="00F50806">
              <w:rPr>
                <w:color w:val="000000"/>
                <w:sz w:val="16"/>
                <w:szCs w:val="16"/>
              </w:rPr>
              <w:t xml:space="preserve"> колпачком. Измерительная шкала  нанесена по всей ширине мочеприемника. Цена деления измерительной шкалы  до 100мл - 25мл, до 2000мл - 100мл. Отверстия для крепления мочеприемника  армированные, универсальные, 2шт.</w:t>
            </w:r>
            <w:r w:rsidRPr="00F50806">
              <w:rPr>
                <w:color w:val="000000"/>
                <w:sz w:val="16"/>
                <w:szCs w:val="16"/>
              </w:rPr>
              <w:br/>
              <w:t>Время стояния  до 4суток</w:t>
            </w:r>
            <w:r w:rsidRPr="00F50806">
              <w:rPr>
                <w:color w:val="000000"/>
                <w:sz w:val="16"/>
                <w:szCs w:val="16"/>
              </w:rPr>
              <w:br/>
              <w:t xml:space="preserve">Упаковка  индивидуальная стерильная.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50806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259,20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220,80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12000,00</w:t>
            </w:r>
          </w:p>
        </w:tc>
      </w:tr>
      <w:tr w:rsidR="00F50806" w:rsidRPr="00F50806" w:rsidTr="00F50806">
        <w:trPr>
          <w:trHeight w:val="32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Мочеприемник А</w:t>
            </w:r>
            <w:proofErr w:type="gramStart"/>
            <w:r w:rsidRPr="00F50806">
              <w:rPr>
                <w:color w:val="000000"/>
                <w:sz w:val="16"/>
                <w:szCs w:val="16"/>
              </w:rPr>
              <w:t>6</w:t>
            </w:r>
            <w:proofErr w:type="gramEnd"/>
            <w:r w:rsidRPr="00F50806">
              <w:rPr>
                <w:color w:val="000000"/>
                <w:sz w:val="16"/>
                <w:szCs w:val="16"/>
              </w:rPr>
              <w:t xml:space="preserve"> (2л) или эквивалент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Стерильная закрытая система для сбора мочи. 2,0л. со специальной капельной ПВХ камерой (емкостью) для разрыва в токе мочи, а также с крючком для крепления к кровати в комплекте и самозатягивающимся портом. Объем сборного мешка не менее 2,0л (2000мл).</w:t>
            </w:r>
            <w:r w:rsidRPr="00F50806">
              <w:rPr>
                <w:color w:val="000000"/>
                <w:sz w:val="16"/>
                <w:szCs w:val="16"/>
              </w:rPr>
              <w:br/>
              <w:t>Капельная ПВХ камера для разрыва в токе мочи выше сборного мешка. Порт самозатягивающийся для взятия проб мочи шприцом без иглы. Невозвратный клапан. Тип слива  крестообразный кран  (слив: 1 литр за 16 секунд).</w:t>
            </w:r>
            <w:r w:rsidRPr="00F50806">
              <w:rPr>
                <w:color w:val="000000"/>
                <w:sz w:val="16"/>
                <w:szCs w:val="16"/>
              </w:rPr>
              <w:br/>
              <w:t xml:space="preserve">Положение </w:t>
            </w:r>
            <w:proofErr w:type="gramStart"/>
            <w:r w:rsidRPr="00F50806">
              <w:rPr>
                <w:color w:val="000000"/>
                <w:sz w:val="16"/>
                <w:szCs w:val="16"/>
              </w:rPr>
              <w:t>слива</w:t>
            </w:r>
            <w:proofErr w:type="gramEnd"/>
            <w:r w:rsidRPr="00F50806">
              <w:rPr>
                <w:color w:val="000000"/>
                <w:sz w:val="16"/>
                <w:szCs w:val="16"/>
              </w:rPr>
              <w:t xml:space="preserve">  смещенное от центра сборного мешка. Отверстие для закрепления сливного крана в горизонтальном положении  армированное. Фильтр гидрофобный антибактериальный встроенный в мочеприемник на передней поверхности </w:t>
            </w:r>
            <w:proofErr w:type="gramStart"/>
            <w:r w:rsidRPr="00F50806">
              <w:rPr>
                <w:color w:val="000000"/>
                <w:sz w:val="16"/>
                <w:szCs w:val="16"/>
              </w:rPr>
              <w:t>сборного</w:t>
            </w:r>
            <w:proofErr w:type="gramEnd"/>
            <w:r w:rsidRPr="00F50806">
              <w:rPr>
                <w:color w:val="000000"/>
                <w:sz w:val="16"/>
                <w:szCs w:val="16"/>
              </w:rPr>
              <w:t xml:space="preserve">. Фильтр гидрофобный антибактериальный в капельной камере. Приводная </w:t>
            </w:r>
            <w:proofErr w:type="spellStart"/>
            <w:r w:rsidRPr="00F50806">
              <w:rPr>
                <w:color w:val="000000"/>
                <w:sz w:val="16"/>
                <w:szCs w:val="16"/>
              </w:rPr>
              <w:t>трубкане</w:t>
            </w:r>
            <w:proofErr w:type="spellEnd"/>
            <w:r w:rsidRPr="00F50806">
              <w:rPr>
                <w:color w:val="000000"/>
                <w:sz w:val="16"/>
                <w:szCs w:val="16"/>
              </w:rPr>
              <w:t xml:space="preserve"> менее 111см (с </w:t>
            </w:r>
            <w:proofErr w:type="spellStart"/>
            <w:r w:rsidRPr="00F50806">
              <w:rPr>
                <w:color w:val="000000"/>
                <w:sz w:val="16"/>
                <w:szCs w:val="16"/>
              </w:rPr>
              <w:t>коннектором</w:t>
            </w:r>
            <w:proofErr w:type="spellEnd"/>
            <w:r w:rsidRPr="00F50806">
              <w:rPr>
                <w:color w:val="000000"/>
                <w:sz w:val="16"/>
                <w:szCs w:val="16"/>
              </w:rPr>
              <w:t xml:space="preserve"> не менее117см). Зажим. Шкала измерительная с делениями 25-100мл, 100-500мл, 500-2000мл. Горизонтальная рама для фиксации сборного мешка и точного измерения.</w:t>
            </w:r>
            <w:r w:rsidRPr="00F50806">
              <w:rPr>
                <w:color w:val="000000"/>
                <w:sz w:val="16"/>
                <w:szCs w:val="16"/>
              </w:rPr>
              <w:br/>
              <w:t>Время стояния до 7суток.</w:t>
            </w:r>
            <w:r w:rsidRPr="00F50806">
              <w:rPr>
                <w:color w:val="000000"/>
                <w:sz w:val="16"/>
                <w:szCs w:val="16"/>
              </w:rPr>
              <w:br/>
              <w:t>Материал сборного мешка – ПВХ.</w:t>
            </w:r>
            <w:r w:rsidRPr="00F50806">
              <w:rPr>
                <w:color w:val="000000"/>
                <w:sz w:val="16"/>
                <w:szCs w:val="16"/>
              </w:rPr>
              <w:br/>
              <w:t>Приводная трубка – ПВХ.</w:t>
            </w:r>
            <w:r w:rsidRPr="00F50806">
              <w:rPr>
                <w:color w:val="000000"/>
                <w:sz w:val="16"/>
                <w:szCs w:val="16"/>
              </w:rPr>
              <w:br/>
              <w:t>Материал капельной камеры – ПВХ.</w:t>
            </w:r>
            <w:r w:rsidRPr="00F50806">
              <w:rPr>
                <w:color w:val="000000"/>
                <w:sz w:val="16"/>
                <w:szCs w:val="16"/>
              </w:rPr>
              <w:br/>
              <w:t>Крючок для подвешивания к кровати.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50806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880,00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950,40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809,60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880,00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26400,00</w:t>
            </w:r>
          </w:p>
        </w:tc>
      </w:tr>
      <w:tr w:rsidR="00F50806" w:rsidRPr="00F50806" w:rsidTr="00F50806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Пипетка глазная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 xml:space="preserve">Пипетка глазная медицинская </w:t>
            </w:r>
            <w:proofErr w:type="spellStart"/>
            <w:r w:rsidRPr="00F50806">
              <w:rPr>
                <w:color w:val="000000"/>
                <w:sz w:val="16"/>
                <w:szCs w:val="16"/>
              </w:rPr>
              <w:t>атравматичная</w:t>
            </w:r>
            <w:proofErr w:type="spellEnd"/>
            <w:r w:rsidRPr="00F50806">
              <w:rPr>
                <w:color w:val="000000"/>
                <w:sz w:val="16"/>
                <w:szCs w:val="16"/>
              </w:rPr>
              <w:br/>
              <w:t xml:space="preserve">в футляре.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50806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655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2,16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1,84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1310,00</w:t>
            </w:r>
          </w:p>
        </w:tc>
      </w:tr>
      <w:tr w:rsidR="00F50806" w:rsidRPr="00F50806" w:rsidTr="00F50806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 xml:space="preserve">Спринцовка №1А с </w:t>
            </w:r>
            <w:proofErr w:type="gramStart"/>
            <w:r w:rsidRPr="00F50806">
              <w:rPr>
                <w:color w:val="000000"/>
                <w:sz w:val="16"/>
                <w:szCs w:val="16"/>
              </w:rPr>
              <w:t>м</w:t>
            </w:r>
            <w:proofErr w:type="gramEnd"/>
            <w:r w:rsidRPr="00F50806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F50806">
              <w:rPr>
                <w:color w:val="000000"/>
                <w:sz w:val="16"/>
                <w:szCs w:val="16"/>
              </w:rPr>
              <w:t>н</w:t>
            </w:r>
            <w:proofErr w:type="spellEnd"/>
            <w:r w:rsidRPr="00F50806">
              <w:rPr>
                <w:color w:val="000000"/>
                <w:sz w:val="16"/>
                <w:szCs w:val="16"/>
              </w:rPr>
              <w:t xml:space="preserve"> резин.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 xml:space="preserve">Спринцовка резиновая с мягким наконечник размер №1,  объём 30±5 мл,  высокая эластичность баллона, стойка к многократным термическим обработкам.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50806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43,20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36,80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320,00</w:t>
            </w:r>
          </w:p>
        </w:tc>
      </w:tr>
      <w:tr w:rsidR="00F50806" w:rsidRPr="00F50806" w:rsidTr="00F50806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 xml:space="preserve">Спринцовка №3А с </w:t>
            </w:r>
            <w:proofErr w:type="gramStart"/>
            <w:r w:rsidRPr="00F50806">
              <w:rPr>
                <w:color w:val="000000"/>
                <w:sz w:val="16"/>
                <w:szCs w:val="16"/>
              </w:rPr>
              <w:t>м</w:t>
            </w:r>
            <w:proofErr w:type="gramEnd"/>
            <w:r w:rsidRPr="00F50806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F50806">
              <w:rPr>
                <w:color w:val="000000"/>
                <w:sz w:val="16"/>
                <w:szCs w:val="16"/>
              </w:rPr>
              <w:t>н</w:t>
            </w:r>
            <w:proofErr w:type="spellEnd"/>
            <w:r w:rsidRPr="00F50806">
              <w:rPr>
                <w:color w:val="000000"/>
                <w:sz w:val="16"/>
                <w:szCs w:val="16"/>
              </w:rPr>
              <w:t xml:space="preserve"> резин.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 xml:space="preserve">Спринцовка резиновая с мягким наконечник размер №3,  объём 110±5 мл,  высокая эластичность баллона, стойка к многократным термическим обработкам.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50806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64,80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55,20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1680,00</w:t>
            </w:r>
          </w:p>
        </w:tc>
      </w:tr>
      <w:tr w:rsidR="00F50806" w:rsidRPr="00F50806" w:rsidTr="00F50806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Стаканчик для приема лекарств, 30 мл.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Стаканчик мерный для приема лекарств полимерный, градуированный прозрачный.</w:t>
            </w:r>
            <w:r w:rsidRPr="00F50806">
              <w:rPr>
                <w:color w:val="000000"/>
                <w:sz w:val="16"/>
                <w:szCs w:val="16"/>
              </w:rPr>
              <w:br/>
              <w:t xml:space="preserve">Емкость 30 мл.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50806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6,48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5,52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1200,00</w:t>
            </w:r>
          </w:p>
        </w:tc>
      </w:tr>
      <w:tr w:rsidR="00F50806" w:rsidRPr="00F50806" w:rsidTr="00F50806">
        <w:trPr>
          <w:trHeight w:val="10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 xml:space="preserve">Судно полимерное подкладное 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 xml:space="preserve">Судно подкладное для осуществления испражнения и мочеиспускания больного в кровати. Изготовлено из медицинского полипропилена. Эффект "теплого материала" позволяет поверхности судна быстро принимать температуру тела, при соприкосновении с ним. Изделие быстро и легко дезинфицируется, хорошо очищается. Размеры судна подкладного полимерного 470 </w:t>
            </w:r>
            <w:proofErr w:type="spellStart"/>
            <w:r w:rsidRPr="00F50806">
              <w:rPr>
                <w:color w:val="000000"/>
                <w:sz w:val="16"/>
                <w:szCs w:val="16"/>
              </w:rPr>
              <w:t>х</w:t>
            </w:r>
            <w:proofErr w:type="spellEnd"/>
            <w:r w:rsidRPr="00F50806">
              <w:rPr>
                <w:color w:val="000000"/>
                <w:sz w:val="16"/>
                <w:szCs w:val="16"/>
              </w:rPr>
              <w:t xml:space="preserve"> 295 </w:t>
            </w:r>
            <w:proofErr w:type="spellStart"/>
            <w:r w:rsidRPr="00F50806">
              <w:rPr>
                <w:color w:val="000000"/>
                <w:sz w:val="16"/>
                <w:szCs w:val="16"/>
              </w:rPr>
              <w:t>х</w:t>
            </w:r>
            <w:proofErr w:type="spellEnd"/>
            <w:r w:rsidRPr="00F50806">
              <w:rPr>
                <w:color w:val="000000"/>
                <w:sz w:val="16"/>
                <w:szCs w:val="16"/>
              </w:rPr>
              <w:t xml:space="preserve"> 105 мм. Масса (вес) не менее 0,5 кг.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50806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432,00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368,00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3200,00</w:t>
            </w:r>
          </w:p>
        </w:tc>
      </w:tr>
      <w:tr w:rsidR="00F50806" w:rsidRPr="00F50806" w:rsidTr="00F50806">
        <w:trPr>
          <w:trHeight w:val="10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Мочеприемник мужской УТКА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 xml:space="preserve">Мочеприемник тип «Утка» (из медицинского полиэтилена высокого давления), поверхность при соприкосновении с телом быстро приобретает его температуру (эффект "теплого материала"), изделие хорошо очищается, быстро и легко дезинфицируется. Имеет шкалу до 1400 мл с делениями для измерения объема </w:t>
            </w:r>
            <w:proofErr w:type="spellStart"/>
            <w:r w:rsidRPr="00F50806">
              <w:rPr>
                <w:color w:val="000000"/>
                <w:sz w:val="16"/>
                <w:szCs w:val="16"/>
              </w:rPr>
              <w:t>мочи</w:t>
            </w:r>
            <w:proofErr w:type="gramStart"/>
            <w:r w:rsidRPr="00F50806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F50806">
              <w:rPr>
                <w:color w:val="000000"/>
                <w:sz w:val="16"/>
                <w:szCs w:val="16"/>
              </w:rPr>
              <w:t>азмеры</w:t>
            </w:r>
            <w:proofErr w:type="spellEnd"/>
            <w:r w:rsidRPr="00F50806">
              <w:rPr>
                <w:color w:val="000000"/>
                <w:sz w:val="16"/>
                <w:szCs w:val="16"/>
              </w:rPr>
              <w:t xml:space="preserve"> 27*10*14 см  . Объем не менее 1400мл. Вес не более 150 гр.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50806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183,60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156,40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510,00</w:t>
            </w:r>
          </w:p>
        </w:tc>
      </w:tr>
      <w:tr w:rsidR="00F50806" w:rsidRPr="00F50806" w:rsidTr="00F50806">
        <w:trPr>
          <w:trHeight w:val="234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Контейнер для анализов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 xml:space="preserve">Контейнер для анализов - предназначен для сбора и транспортировки на </w:t>
            </w:r>
            <w:proofErr w:type="spellStart"/>
            <w:r w:rsidRPr="00F50806">
              <w:rPr>
                <w:color w:val="000000"/>
                <w:sz w:val="16"/>
                <w:szCs w:val="16"/>
              </w:rPr>
              <w:t>общеклинические</w:t>
            </w:r>
            <w:proofErr w:type="spellEnd"/>
            <w:r w:rsidRPr="00F50806">
              <w:rPr>
                <w:color w:val="000000"/>
                <w:sz w:val="16"/>
                <w:szCs w:val="16"/>
              </w:rPr>
              <w:t xml:space="preserve"> исследования проб: мочи, мокроты, ликвора, выпотные жидкости, слизи, ткани, патоморфологического материала и других биологических материалов.</w:t>
            </w:r>
            <w:r w:rsidRPr="00F50806">
              <w:rPr>
                <w:color w:val="000000"/>
                <w:sz w:val="16"/>
                <w:szCs w:val="16"/>
              </w:rPr>
              <w:br/>
              <w:t xml:space="preserve">Изготовлен  из ультрачистого полипропилена или прозрачного медицинского полистирола, оба материала являются химически нейтральными и </w:t>
            </w:r>
            <w:proofErr w:type="spellStart"/>
            <w:r w:rsidRPr="00F50806">
              <w:rPr>
                <w:color w:val="000000"/>
                <w:sz w:val="16"/>
                <w:szCs w:val="16"/>
              </w:rPr>
              <w:t>бактериально</w:t>
            </w:r>
            <w:proofErr w:type="spellEnd"/>
            <w:r w:rsidRPr="00F50806">
              <w:rPr>
                <w:color w:val="000000"/>
                <w:sz w:val="16"/>
                <w:szCs w:val="16"/>
              </w:rPr>
              <w:t xml:space="preserve"> чистыми и механически устойчивыми веществами, снабжен герметично завинчивающейся крышкой красного цвета, обеспечивающей надежную защиту от протекания, расплескивания и ингаляционного контакта, что обеспечивает полную герметичность при транспортировке биологического материала. Индивидуальная упаковка.</w:t>
            </w:r>
            <w:r w:rsidRPr="00F50806">
              <w:rPr>
                <w:color w:val="000000"/>
                <w:sz w:val="16"/>
                <w:szCs w:val="16"/>
              </w:rPr>
              <w:br/>
              <w:t>На прозрачной стенке контейнера для сбора мочи имеется этикетка или специальное матовое окошко для записи информации о пробе и пациенте.</w:t>
            </w:r>
            <w:r w:rsidRPr="00F50806">
              <w:rPr>
                <w:color w:val="000000"/>
                <w:sz w:val="16"/>
                <w:szCs w:val="16"/>
              </w:rPr>
              <w:br/>
              <w:t>Объем контейнера:  100 мл.</w:t>
            </w:r>
            <w:r w:rsidRPr="00F50806">
              <w:rPr>
                <w:color w:val="000000"/>
                <w:sz w:val="16"/>
                <w:szCs w:val="16"/>
              </w:rPr>
              <w:br/>
              <w:t>Стерилизация: Оксид этилена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50806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8,00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8,64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7,36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8,00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4000,00</w:t>
            </w:r>
          </w:p>
        </w:tc>
      </w:tr>
      <w:tr w:rsidR="00F50806" w:rsidRPr="00F50806" w:rsidTr="00F50806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Стакан мерный 100 мл, стекло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 xml:space="preserve">Стакан мерный стеклянный, разработан для выполнения большинства химических процедур. Имеет ориентировочную шкалу. </w:t>
            </w:r>
            <w:proofErr w:type="gramStart"/>
            <w:r w:rsidRPr="00F50806">
              <w:rPr>
                <w:color w:val="000000"/>
                <w:sz w:val="16"/>
                <w:szCs w:val="16"/>
              </w:rPr>
              <w:t>Изготовлен</w:t>
            </w:r>
            <w:proofErr w:type="gramEnd"/>
            <w:r w:rsidRPr="00F50806">
              <w:rPr>
                <w:color w:val="000000"/>
                <w:sz w:val="16"/>
                <w:szCs w:val="16"/>
              </w:rPr>
              <w:t xml:space="preserve"> из стекла марки ТС. Объем 100 мл. Цена деления 25 мл. Диаметр 50 мм. Высота 70 мм.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50806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162,00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138,00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1050,00</w:t>
            </w:r>
          </w:p>
        </w:tc>
      </w:tr>
      <w:tr w:rsidR="00F50806" w:rsidRPr="00F50806" w:rsidTr="00F5080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806" w:rsidRPr="00F50806" w:rsidRDefault="00F50806" w:rsidP="00F50806">
            <w:pPr>
              <w:jc w:val="left"/>
              <w:rPr>
                <w:color w:val="000000"/>
                <w:sz w:val="16"/>
                <w:szCs w:val="16"/>
              </w:rPr>
            </w:pPr>
            <w:r w:rsidRPr="00F50806">
              <w:rPr>
                <w:color w:val="000000"/>
                <w:sz w:val="16"/>
                <w:szCs w:val="16"/>
              </w:rPr>
              <w:t>153620,00</w:t>
            </w:r>
          </w:p>
        </w:tc>
      </w:tr>
    </w:tbl>
    <w:p w:rsidR="00921AF2" w:rsidRDefault="00921AF2" w:rsidP="006A0E76">
      <w:pPr>
        <w:ind w:left="720"/>
        <w:rPr>
          <w:sz w:val="20"/>
          <w:szCs w:val="20"/>
        </w:rPr>
      </w:pPr>
    </w:p>
    <w:p w:rsidR="00B63D21" w:rsidRDefault="00B63D21" w:rsidP="006A0E76">
      <w:pPr>
        <w:ind w:left="720"/>
        <w:rPr>
          <w:sz w:val="20"/>
          <w:szCs w:val="20"/>
        </w:rPr>
      </w:pPr>
    </w:p>
    <w:p w:rsidR="008F753D" w:rsidRPr="00337B41" w:rsidRDefault="008F753D" w:rsidP="008F753D">
      <w:pPr>
        <w:rPr>
          <w:sz w:val="20"/>
          <w:szCs w:val="20"/>
        </w:rPr>
      </w:pPr>
      <w:r w:rsidRPr="00337B41">
        <w:rPr>
          <w:sz w:val="20"/>
          <w:szCs w:val="20"/>
        </w:rPr>
        <w:t xml:space="preserve">На основании вышеизложенного </w:t>
      </w:r>
      <w:proofErr w:type="gramStart"/>
      <w:r w:rsidRPr="00337B41">
        <w:rPr>
          <w:sz w:val="20"/>
          <w:szCs w:val="20"/>
        </w:rPr>
        <w:t>установлена</w:t>
      </w:r>
      <w:proofErr w:type="gramEnd"/>
      <w:r w:rsidRPr="00337B41">
        <w:rPr>
          <w:sz w:val="20"/>
          <w:szCs w:val="20"/>
        </w:rPr>
        <w:t xml:space="preserve"> НМЦ контракта (договора), которая составляет </w:t>
      </w:r>
      <w:r w:rsidR="00F50806">
        <w:rPr>
          <w:b/>
          <w:sz w:val="20"/>
          <w:szCs w:val="20"/>
        </w:rPr>
        <w:t>153620.00</w:t>
      </w:r>
      <w:r w:rsidR="00B63D21">
        <w:rPr>
          <w:b/>
          <w:sz w:val="20"/>
          <w:szCs w:val="20"/>
        </w:rPr>
        <w:t xml:space="preserve"> рублей.</w:t>
      </w:r>
      <w:r w:rsidR="00FD7E4B">
        <w:rPr>
          <w:b/>
          <w:sz w:val="20"/>
          <w:szCs w:val="20"/>
        </w:rPr>
        <w:t xml:space="preserve"> </w:t>
      </w:r>
      <w:r w:rsidRPr="00337B41">
        <w:rPr>
          <w:sz w:val="20"/>
          <w:szCs w:val="20"/>
        </w:rPr>
        <w:t>В соответствии с Федеральным законом № 135-ФЗ «О защите конкуренции Заказчик не указывает сведения о потенциальных поставщиках (исполнителях, подрядчиках), сделавших коммерческие предложения, данные сведения хранятся у Заказчика.</w:t>
      </w:r>
    </w:p>
    <w:p w:rsidR="005A50A3" w:rsidRPr="00337B41" w:rsidRDefault="005A50A3" w:rsidP="004154F7">
      <w:pPr>
        <w:rPr>
          <w:sz w:val="20"/>
          <w:szCs w:val="20"/>
        </w:rPr>
      </w:pPr>
    </w:p>
    <w:sectPr w:rsidR="005A50A3" w:rsidRPr="00337B41" w:rsidSect="0005514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00EE3"/>
    <w:multiLevelType w:val="hybridMultilevel"/>
    <w:tmpl w:val="5D0A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154F7"/>
    <w:rsid w:val="00021EFF"/>
    <w:rsid w:val="00051696"/>
    <w:rsid w:val="0005514D"/>
    <w:rsid w:val="00115FF4"/>
    <w:rsid w:val="001479C6"/>
    <w:rsid w:val="00166697"/>
    <w:rsid w:val="00182EDC"/>
    <w:rsid w:val="001B5F39"/>
    <w:rsid w:val="00222F32"/>
    <w:rsid w:val="00280BAB"/>
    <w:rsid w:val="002C1E53"/>
    <w:rsid w:val="00337B41"/>
    <w:rsid w:val="00355EC6"/>
    <w:rsid w:val="003B243C"/>
    <w:rsid w:val="003B57B8"/>
    <w:rsid w:val="003C6686"/>
    <w:rsid w:val="003D125A"/>
    <w:rsid w:val="004154F7"/>
    <w:rsid w:val="005136C2"/>
    <w:rsid w:val="00554E4E"/>
    <w:rsid w:val="0055510B"/>
    <w:rsid w:val="00562482"/>
    <w:rsid w:val="005A50A3"/>
    <w:rsid w:val="005B171C"/>
    <w:rsid w:val="00645046"/>
    <w:rsid w:val="00681BCB"/>
    <w:rsid w:val="006A0E76"/>
    <w:rsid w:val="0076432B"/>
    <w:rsid w:val="007A3221"/>
    <w:rsid w:val="007C4DF3"/>
    <w:rsid w:val="007C5D81"/>
    <w:rsid w:val="007D22DB"/>
    <w:rsid w:val="008136D3"/>
    <w:rsid w:val="0083075D"/>
    <w:rsid w:val="00875D03"/>
    <w:rsid w:val="00896CEE"/>
    <w:rsid w:val="008D0BAC"/>
    <w:rsid w:val="008F753D"/>
    <w:rsid w:val="0090214C"/>
    <w:rsid w:val="00921AF2"/>
    <w:rsid w:val="00970303"/>
    <w:rsid w:val="0099495A"/>
    <w:rsid w:val="00AA518E"/>
    <w:rsid w:val="00B10CA9"/>
    <w:rsid w:val="00B42597"/>
    <w:rsid w:val="00B63D21"/>
    <w:rsid w:val="00B64657"/>
    <w:rsid w:val="00B90A5A"/>
    <w:rsid w:val="00C672E2"/>
    <w:rsid w:val="00CA2DA1"/>
    <w:rsid w:val="00D06126"/>
    <w:rsid w:val="00D14FE2"/>
    <w:rsid w:val="00D1680C"/>
    <w:rsid w:val="00D23D9B"/>
    <w:rsid w:val="00D51571"/>
    <w:rsid w:val="00D92971"/>
    <w:rsid w:val="00DA4D7F"/>
    <w:rsid w:val="00E13251"/>
    <w:rsid w:val="00E3611A"/>
    <w:rsid w:val="00E4132F"/>
    <w:rsid w:val="00E52C94"/>
    <w:rsid w:val="00E7265D"/>
    <w:rsid w:val="00F26035"/>
    <w:rsid w:val="00F50806"/>
    <w:rsid w:val="00F71031"/>
    <w:rsid w:val="00FD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54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4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54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73D9F-5CAB-497E-A50F-A01D05DF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dcterms:created xsi:type="dcterms:W3CDTF">2018-02-12T05:11:00Z</dcterms:created>
  <dcterms:modified xsi:type="dcterms:W3CDTF">2018-04-17T07:10:00Z</dcterms:modified>
</cp:coreProperties>
</file>