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осуществление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Наличие у участника закупки действующей лицензии подтверждается:</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наличием сведений об участнике закупки, содержащихся в реестре лицензий на сайте лицензирующего органа</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40 ч.1 ст.12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ст. 91 Федерального закона от 29.12.2012 № 273-ФЗ «Об образовании в Российской Федерации»;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Постановление Правительства РФ от 18.09.2020 № 1490 «О лицензировании образовательной деятельности»;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«ОК 009-2016. Общероссийский классификатор специальностей по образованию».</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деятельности по реализации</w:t>
            </w:r>
            <w:r w:rsidRPr="00B37762">
              <w:rPr>
                <w:rFonts w:ascii="Liberation Serif" w:hAnsi="Liberation Serif" w:cs="Liberation Serif"/>
                <w:noProof/>
                <w:sz w:val="24"/>
                <w:szCs w:val="24"/>
                <w:lang w:val="en-US"/>
              </w:rPr>
              <w:t xml:space="preserve"> образовательных программ:</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18. Реализация дополнительных профессиональных программ - программ повышения квалификации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18.09.2020 № 1490 «О лицензировании образовательной деятельности»;</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252660500815866330100100080048542244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