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jc w:val="center"/>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349"/>
      </w:tblGrid>
      <w:tr w:rsidR="00582B02" w:rsidRPr="00FD3E89" w:rsidTr="00582B02">
        <w:trPr>
          <w:jc w:val="center"/>
        </w:trPr>
        <w:tc>
          <w:tcPr>
            <w:tcW w:w="10349" w:type="dxa"/>
            <w:shd w:val="clear" w:color="auto" w:fill="F2F2F2" w:themeFill="background1" w:themeFillShade="F2"/>
          </w:tcPr>
          <w:p w:rsidR="00582B02" w:rsidRPr="00FD3E89" w:rsidRDefault="00582B02" w:rsidP="00582B02">
            <w:pPr>
              <w:pStyle w:val="ae"/>
              <w:rPr>
                <w:rFonts w:ascii="Liberation Serif" w:hAnsi="Liberation Serif"/>
                <w:b/>
              </w:rPr>
            </w:pPr>
            <w:r w:rsidRPr="00FD3E89">
              <w:rPr>
                <w:rFonts w:ascii="Liberation Serif" w:hAnsi="Liberation Serif"/>
                <w:b/>
              </w:rPr>
              <w:t>Обеспечение исполнения контракта</w:t>
            </w:r>
            <w:r w:rsidR="00E77522">
              <w:rPr>
                <w:rFonts w:ascii="Liberation Serif" w:hAnsi="Liberation Serif"/>
                <w:b/>
              </w:rPr>
              <w:t xml:space="preserve"> </w:t>
            </w:r>
            <w:r w:rsidR="005C110E">
              <w:rPr>
                <w:rFonts w:ascii="Liberation Serif" w:hAnsi="Liberation Serif"/>
                <w:b/>
              </w:rPr>
              <w:t xml:space="preserve"> </w:t>
            </w:r>
          </w:p>
        </w:tc>
      </w:tr>
      <w:tr w:rsidR="00582B02" w:rsidRPr="00FD3E89" w:rsidTr="00582B02">
        <w:trPr>
          <w:jc w:val="center"/>
        </w:trPr>
        <w:tc>
          <w:tcPr>
            <w:tcW w:w="10349" w:type="dxa"/>
            <w:shd w:val="clear" w:color="auto" w:fill="F2F2F2" w:themeFill="background1" w:themeFillShade="F2"/>
          </w:tcPr>
          <w:p w:rsidR="00582B02" w:rsidRPr="00FD3E89" w:rsidRDefault="00FD3E89" w:rsidP="00FD3E89">
            <w:pPr>
              <w:pStyle w:val="ae"/>
              <w:rPr>
                <w:rFonts w:ascii="Liberation Serif" w:hAnsi="Liberation Serif"/>
                <w:b/>
              </w:rPr>
            </w:pPr>
            <w:r w:rsidRPr="00FD3E89">
              <w:rPr>
                <w:rFonts w:ascii="Liberation Serif" w:hAnsi="Liberation Serif"/>
                <w:b/>
              </w:rPr>
              <w:t>Порядок предоставления обеспечения исполнения контракта, требования к обеспечению</w:t>
            </w:r>
          </w:p>
        </w:tc>
      </w:tr>
      <w:tr w:rsidR="00582B02" w:rsidRPr="00582B02" w:rsidTr="00582B02">
        <w:trPr>
          <w:jc w:val="center"/>
        </w:trPr>
        <w:tc>
          <w:tcPr>
            <w:tcW w:w="10349" w:type="dxa"/>
            <w:shd w:val="clear" w:color="auto" w:fill="auto"/>
          </w:tcPr>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от 05.04.2013 г. №44-ФЗ </w:t>
            </w:r>
            <w:r>
              <w:rPr>
                <w:rFonts w:ascii="Liberation Serif" w:eastAsia="Calibri" w:hAnsi="Liberation Serif"/>
              </w:rPr>
              <w:t xml:space="preserve">(далее – </w:t>
            </w:r>
            <w:r w:rsidRPr="00582B02">
              <w:rPr>
                <w:rFonts w:ascii="Liberation Serif" w:eastAsia="Calibri" w:hAnsi="Liberation Serif"/>
              </w:rPr>
              <w:t>Закона о контрактной системе</w:t>
            </w:r>
            <w:r>
              <w:rPr>
                <w:rFonts w:ascii="Liberation Serif" w:eastAsia="Calibri" w:hAnsi="Liberation Serif"/>
              </w:rPr>
              <w:t>)</w:t>
            </w:r>
            <w:r w:rsidRPr="00582B02">
              <w:rPr>
                <w:rFonts w:ascii="Liberation Serif" w:eastAsia="Calibri" w:hAnsi="Liberation Serif"/>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В случае, если предложенная в заявке участника закупки цена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 </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Если при проведении конкурса или аукциона начальная (максимальная) цена контракта составляет более чем 15 миллионов рублей и участником закупки, с которым заключается контракт, предложена цена контракта, которая на 25% и более ниже начальной (максимальной) цены контракта, либо предложена сумма цен единиц товара, работы, услуги, которая на 25% и более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10%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не менее размера аванса (если контрактом предусмотрена выплата аванса).</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Если при проведении конкурса или аукциона начальная (максимальная) цена контракта составляет 15 миллионов рублей и менее и участником закупки, с которым заключается контракт, предложена цена контракта, которая на 25% и более ниже начальной (максимальной) цены контракта, либо предложена сумма цен единиц товара, работы, услуги, которая на 25% и более ниже начальной суммы цен указанных единиц, контракт заключается только после предоставления</w:t>
            </w:r>
            <w:r>
              <w:rPr>
                <w:rFonts w:ascii="Liberation Serif" w:eastAsia="Calibri" w:hAnsi="Liberation Serif"/>
              </w:rPr>
              <w:t xml:space="preserve"> </w:t>
            </w:r>
            <w:r w:rsidRPr="00582B02">
              <w:rPr>
                <w:rFonts w:ascii="Liberation Serif" w:eastAsia="Calibri" w:hAnsi="Liberation Serif"/>
              </w:rPr>
              <w:t>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начальной (максимальной) цены контракта, указанной в извещении об осуществлении закупки. </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Информация, предусмотренная частью 3 статьи 37 Закона о контрактной системе,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Pr="00582B02">
              <w:rPr>
                <w:rFonts w:ascii="Liberation Serif" w:eastAsia="Calibri" w:hAnsi="Liberation Serif"/>
              </w:rPr>
              <w:lastRenderedPageBreak/>
              <w:t>размещается заказчиком в единой информационной системе не позднее рабочего дня, следующего за днем подписания указанного протокола.</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Обеспечение, указанное в частях 1 и 2 статьи 37 Закона о контрактной системе,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82B02" w:rsidRPr="00582B02" w:rsidRDefault="00582B02" w:rsidP="00960D16">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82B02" w:rsidRPr="00AA0719" w:rsidRDefault="00AA0719" w:rsidP="00960D16">
            <w:pPr>
              <w:suppressLineNumbers/>
              <w:spacing w:after="0" w:line="240" w:lineRule="auto"/>
              <w:ind w:firstLine="138"/>
              <w:jc w:val="both"/>
              <w:rPr>
                <w:rFonts w:ascii="Liberation Serif" w:eastAsia="Calibri" w:hAnsi="Liberation Serif"/>
              </w:rPr>
            </w:pPr>
            <w:r w:rsidRPr="00AA0719">
              <w:rPr>
                <w:rFonts w:ascii="Liberation Serif" w:eastAsia="Calibri" w:hAnsi="Liberation Serif"/>
              </w:rPr>
              <w:t>Участник закупки, с которым заключается контракт по результатам определения поставщика (подрядчика, исполнителя) в соответствии с </w:t>
            </w:r>
            <w:hyperlink r:id="rId7" w:anchor="/document/70353464/entry/30101" w:history="1">
              <w:r w:rsidRPr="00AA0719">
                <w:rPr>
                  <w:rFonts w:ascii="Liberation Serif" w:eastAsia="Calibri" w:hAnsi="Liberation Serif"/>
                </w:rPr>
                <w:t>пунктом 1 части 1 статьи 30</w:t>
              </w:r>
            </w:hyperlink>
            <w:r w:rsidRPr="00AA0719">
              <w:rPr>
                <w:rFonts w:ascii="Liberation Serif" w:eastAsia="Calibri" w:hAnsi="Liberation Serif"/>
              </w:rPr>
              <w:t> настоящего Федерального закона, освобождается от предоставления обеспечения исполнения контракта, в том числе с учетом положений </w:t>
            </w:r>
            <w:hyperlink r:id="rId8" w:anchor="/document/70353464/entry/37" w:history="1">
              <w:r w:rsidRPr="00AA0719">
                <w:rPr>
                  <w:rFonts w:ascii="Liberation Serif" w:eastAsia="Calibri" w:hAnsi="Liberation Serif"/>
                </w:rPr>
                <w:t>статьи 37</w:t>
              </w:r>
            </w:hyperlink>
            <w:r w:rsidRPr="00AA0719">
              <w:rPr>
                <w:rFonts w:ascii="Liberation Serif" w:eastAsia="Calibri" w:hAnsi="Liberation Serif"/>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582B02" w:rsidRPr="00FD3E89" w:rsidTr="00582B02">
        <w:trPr>
          <w:jc w:val="center"/>
        </w:trPr>
        <w:tc>
          <w:tcPr>
            <w:tcW w:w="10349" w:type="dxa"/>
            <w:shd w:val="clear" w:color="auto" w:fill="F2F2F2" w:themeFill="background1" w:themeFillShade="F2"/>
          </w:tcPr>
          <w:p w:rsidR="00582B02" w:rsidRPr="00FD3E89" w:rsidRDefault="00582B02" w:rsidP="0013458F">
            <w:pPr>
              <w:spacing w:after="0" w:line="240" w:lineRule="auto"/>
              <w:jc w:val="both"/>
              <w:rPr>
                <w:rFonts w:ascii="Liberation Serif" w:hAnsi="Liberation Serif"/>
                <w:b/>
                <w:sz w:val="24"/>
                <w:szCs w:val="24"/>
              </w:rPr>
            </w:pPr>
            <w:r w:rsidRPr="00FD3E89">
              <w:rPr>
                <w:rFonts w:ascii="Liberation Serif" w:hAnsi="Liberation Serif"/>
                <w:b/>
                <w:sz w:val="24"/>
                <w:szCs w:val="24"/>
              </w:rPr>
              <w:lastRenderedPageBreak/>
              <w:t>Условия независимой гарантии</w:t>
            </w:r>
            <w:r w:rsidR="0013458F">
              <w:rPr>
                <w:rFonts w:ascii="Liberation Serif" w:hAnsi="Liberation Serif"/>
                <w:b/>
                <w:sz w:val="24"/>
                <w:szCs w:val="24"/>
              </w:rPr>
              <w:t xml:space="preserve">, </w:t>
            </w:r>
            <w:r w:rsidR="0013458F" w:rsidRPr="0013458F">
              <w:rPr>
                <w:rFonts w:ascii="Liberation Serif" w:hAnsi="Liberation Serif"/>
                <w:b/>
                <w:sz w:val="24"/>
                <w:szCs w:val="24"/>
              </w:rPr>
              <w:t>порядок ее предоставления в качестве обеспечения заявки</w:t>
            </w:r>
            <w:r w:rsidRPr="00FD3E89">
              <w:rPr>
                <w:rFonts w:ascii="Liberation Serif" w:hAnsi="Liberation Serif"/>
                <w:b/>
                <w:sz w:val="24"/>
                <w:szCs w:val="24"/>
              </w:rPr>
              <w:t xml:space="preserve">, </w:t>
            </w:r>
            <w:r w:rsidR="00641FCA" w:rsidRPr="00641FCA">
              <w:rPr>
                <w:rFonts w:ascii="Liberation Serif" w:hAnsi="Liberation Serif"/>
                <w:b/>
                <w:sz w:val="24"/>
                <w:szCs w:val="24"/>
              </w:rPr>
              <w:t>платежные реквизиты для обеспечения исполнения контракта</w:t>
            </w:r>
            <w:r w:rsidRPr="00FD3E89">
              <w:rPr>
                <w:rFonts w:ascii="Liberation Serif" w:hAnsi="Liberation Serif"/>
                <w:b/>
                <w:sz w:val="24"/>
                <w:szCs w:val="24"/>
              </w:rPr>
              <w:t>.</w:t>
            </w:r>
          </w:p>
        </w:tc>
      </w:tr>
      <w:tr w:rsidR="00582B02" w:rsidRPr="00582B02" w:rsidTr="00582B02">
        <w:trPr>
          <w:jc w:val="center"/>
        </w:trPr>
        <w:tc>
          <w:tcPr>
            <w:tcW w:w="10349" w:type="dxa"/>
            <w:tcBorders>
              <w:bottom w:val="single" w:sz="4" w:space="0" w:color="auto"/>
            </w:tcBorders>
            <w:shd w:val="clear" w:color="auto" w:fill="auto"/>
          </w:tcPr>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В качестве обеспечения исполнения контрактов принимаются независимые гарантии, выданные:</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2) государственной корпорацией развития «ВЭБ.РФ»;</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24.07.2007 </w:t>
            </w:r>
            <w:r w:rsidRPr="00582B02">
              <w:rPr>
                <w:rFonts w:ascii="Liberation Serif" w:eastAsia="Calibri" w:hAnsi="Liberation Serif"/>
              </w:rPr>
              <w:br/>
              <w:t>№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Закона о контрактной системе (при осуществлении закупок всоответствии с пунктом 1 части 1 статьи 30 данного закона);</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Независимая гарантия должна быть безотзывной и должна содержать:</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 а также идентификационный код закупки, при осуществлении которой предоставляется такая независимая гарантия;</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2) обязательства принципала, надлежащее исполнение которых обеспечивается независимой гарантией;</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3) обязанность гаранта уплатить заказчику неустойку в размере 0,1% денежной суммы, подлежащей уплате, за каждый день просрочки;</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5) срок действия независимой гарантии с учетом требований статьи 96 Закона о контрактной системе;</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Уменьшение в соответствии с частями 7 и 7.1 статьи 96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о контрактной системе информации в </w:t>
            </w:r>
            <w:r w:rsidRPr="00582B02">
              <w:rPr>
                <w:rFonts w:ascii="Liberation Serif" w:eastAsia="Calibri" w:hAnsi="Liberation Serif"/>
              </w:rPr>
              <w:lastRenderedPageBreak/>
              <w:t>соответствующий реестр контрактов, предусмотренный статьей 103 Закона о контрактной системе.</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Основанием для отказа в принятии независимой гарантии заказчиком является:</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1) отсутствие информации о независимой гарантии в предусмотренных статьей 45 Закона о контрактной системе реестрах независимых гарантий;</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2) несоответствие независимой гарантии требованиям, предусмотренным частями 2, 3 и 8.2 статьи 45 Закона о контрактной системе;</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3) несоответствие независимой гарантии требованиям, содержащимся в извещении об осуществлении закупки, проекте контракта, который заключается с единственным поставщиком (подрядчиком, исполнителем).</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В случае отказа в принятии независимой гарантии заказчик в срок, установленный частью 5 статьи 37 Закона о контрактной системе,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Законом о контрактной системе,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Независимая гарантия, информация о ней и документы, предусмотренные частью 9 статьи 45 Закона о контрактной системе, должны быть включены в реестр независимых гарантий, размещенный в единой информационной системе.</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В случае предоставления нового обеспечения исполнения контракта в соответствии с частью 30 статьи 34, пунктом 9 части 1 статьи 95, частью 7 статьи 96 Закона о контрактной системе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гаранта, на условиях, определенных гражданским законодательством и статьей 45 Закона о контрактной системе, с учетом следующих требований:</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а) обязательное закрепление в независимой гарантии:</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непревышающем размер обеспечения исполнения контракта;</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условия о том, что расходы, возникающие в связи с перечислением денежных средств гарантом по независимой гарантии, несет гарант;</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перечня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ПП РФ от 08.11.2013 № 1005);</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указание на то, что все споры по независимой гарантии рассматриваются в Арбитражном суде Свердловской области.</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б) недопустимость включения в независимую гарантию:</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xml:space="preserve">-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w:t>
            </w:r>
            <w:r w:rsidRPr="00582B02">
              <w:rPr>
                <w:rFonts w:ascii="Liberation Serif" w:eastAsia="Calibri" w:hAnsi="Liberation Serif"/>
              </w:rPr>
              <w:lastRenderedPageBreak/>
              <w:t>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требований о предоставлении заказчиком гаранту отчета об исполнении контракта, гарантийных обязательств;</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ПП РФ от 08.11.2013 № 1005;</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76270D" w:rsidRDefault="0076270D" w:rsidP="00AE7C63">
            <w:pPr>
              <w:suppressLineNumbers/>
              <w:spacing w:after="0" w:line="240" w:lineRule="auto"/>
              <w:ind w:firstLine="138"/>
              <w:jc w:val="both"/>
              <w:rPr>
                <w:rFonts w:ascii="Liberation Serif" w:eastAsia="Calibri" w:hAnsi="Liberation Serif"/>
              </w:rPr>
            </w:pP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Факт внесения денежных средств в качестве обеспечения исполнения контракта подтверждается в форме электронного документа:</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1)</w:t>
            </w:r>
            <w:r w:rsidRPr="00582B02">
              <w:rPr>
                <w:rFonts w:ascii="Liberation Serif" w:eastAsia="Calibri" w:hAnsi="Liberation Serif"/>
              </w:rPr>
              <w:tab/>
              <w:t xml:space="preserve">платежным поручением с отметкой банка об оплате </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или;</w:t>
            </w:r>
          </w:p>
          <w:p w:rsid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rPr>
              <w:t>2) выпиской из банка (в случае, если перевод денежных средств осуществлялся при помощи системы «Банк-клиент»).</w:t>
            </w:r>
          </w:p>
          <w:p w:rsidR="00582B02" w:rsidRPr="00582B02" w:rsidRDefault="00582B02" w:rsidP="00AE7C63">
            <w:pPr>
              <w:suppressLineNumbers/>
              <w:spacing w:after="0" w:line="240" w:lineRule="auto"/>
              <w:ind w:firstLine="138"/>
              <w:jc w:val="both"/>
              <w:rPr>
                <w:rFonts w:ascii="Liberation Serif" w:eastAsia="Calibri" w:hAnsi="Liberation Serif"/>
              </w:rPr>
            </w:pPr>
          </w:p>
          <w:p w:rsidR="00582B02" w:rsidRPr="00582B02" w:rsidRDefault="00582B02" w:rsidP="00AE7C63">
            <w:pPr>
              <w:pStyle w:val="ae"/>
              <w:tabs>
                <w:tab w:val="left" w:pos="567"/>
                <w:tab w:val="left" w:pos="851"/>
              </w:tabs>
              <w:ind w:firstLine="138"/>
              <w:jc w:val="both"/>
              <w:rPr>
                <w:rFonts w:ascii="Liberation Serif" w:hAnsi="Liberation Serif"/>
                <w:b/>
                <w:bCs/>
                <w:sz w:val="22"/>
                <w:szCs w:val="22"/>
              </w:rPr>
            </w:pPr>
            <w:r w:rsidRPr="00582B02">
              <w:rPr>
                <w:rFonts w:ascii="Liberation Serif" w:hAnsi="Liberation Serif"/>
                <w:b/>
                <w:bCs/>
                <w:sz w:val="22"/>
                <w:szCs w:val="22"/>
              </w:rPr>
              <w:t>Реквизиты счета Заказчика для внесения денежных средств в качестве обеспечения исполнения контракта:</w:t>
            </w:r>
          </w:p>
          <w:p w:rsidR="00582B02" w:rsidRPr="00582B02" w:rsidRDefault="00582B02" w:rsidP="00AE7C63">
            <w:pPr>
              <w:spacing w:after="0" w:line="240" w:lineRule="auto"/>
              <w:ind w:firstLine="138"/>
              <w:rPr>
                <w:rFonts w:ascii="Liberation Serif" w:eastAsia="Calibri" w:hAnsi="Liberation Serif" w:cs="Times New Roman"/>
                <w:b/>
                <w:bCs/>
                <w:shd w:val="clear" w:color="auto" w:fill="FFFFFF"/>
              </w:rPr>
            </w:pPr>
            <w:r w:rsidRPr="00582B02">
              <w:rPr>
                <w:rFonts w:ascii="Liberation Serif" w:eastAsia="Calibri" w:hAnsi="Liberation Serif" w:cs="Times New Roman"/>
                <w:b/>
                <w:bCs/>
                <w:shd w:val="clear" w:color="auto" w:fill="FFFFFF"/>
              </w:rPr>
              <w:t xml:space="preserve">В платежном поручении в поле получатель указать: </w:t>
            </w:r>
          </w:p>
          <w:p w:rsidR="00582B02" w:rsidRPr="00582B02" w:rsidRDefault="00582B02" w:rsidP="00AE7C63">
            <w:pPr>
              <w:spacing w:after="0" w:line="240" w:lineRule="auto"/>
              <w:ind w:firstLine="138"/>
              <w:rPr>
                <w:rFonts w:ascii="Liberation Serif" w:eastAsia="Calibri" w:hAnsi="Liberation Serif" w:cs="Liberation Serif"/>
                <w:b/>
              </w:rPr>
            </w:pPr>
            <w:r w:rsidRPr="00582B02">
              <w:rPr>
                <w:rFonts w:ascii="Liberation Serif" w:eastAsia="Calibri" w:hAnsi="Liberation Serif" w:cs="Times New Roman"/>
                <w:b/>
              </w:rPr>
              <w:t xml:space="preserve">Министерство финансов Свердловской области </w:t>
            </w:r>
            <w:r w:rsidRPr="00582B02">
              <w:rPr>
                <w:rFonts w:ascii="Liberation Serif" w:eastAsia="Calibri" w:hAnsi="Liberation Serif" w:cs="Liberation Serif"/>
                <w:b/>
              </w:rPr>
              <w:t>(</w:t>
            </w:r>
            <w:r w:rsidRPr="00582B02">
              <w:rPr>
                <w:rFonts w:ascii="Liberation Serif" w:eastAsia="Calibri" w:hAnsi="Liberation Serif" w:cs="Liberation Serif"/>
                <w:b/>
                <w:noProof/>
              </w:rPr>
              <w:t>ГКУ ''Артемовский</w:t>
            </w:r>
            <w:r w:rsidRPr="00582B02">
              <w:rPr>
                <w:rFonts w:ascii="Liberation Serif" w:eastAsia="Calibri" w:hAnsi="Liberation Serif" w:cs="Liberation Serif"/>
                <w:b/>
              </w:rPr>
              <w:t xml:space="preserve"> ЦЗ'', л/с </w:t>
            </w:r>
            <w:r w:rsidRPr="00582B02">
              <w:rPr>
                <w:rFonts w:ascii="Liberation Serif" w:eastAsia="Calibri" w:hAnsi="Liberation Serif" w:cs="Liberation Serif"/>
                <w:b/>
                <w:noProof/>
              </w:rPr>
              <w:t>05041022850</w:t>
            </w:r>
            <w:r w:rsidRPr="00582B02">
              <w:rPr>
                <w:rFonts w:ascii="Liberation Serif" w:eastAsia="Calibri" w:hAnsi="Liberation Serif" w:cs="Liberation Serif"/>
                <w:b/>
              </w:rPr>
              <w:t>)</w:t>
            </w:r>
          </w:p>
          <w:p w:rsidR="00582B02" w:rsidRPr="00582B02" w:rsidRDefault="00582B02" w:rsidP="00AE7C63">
            <w:pPr>
              <w:spacing w:after="0" w:line="240" w:lineRule="auto"/>
              <w:ind w:firstLine="138"/>
              <w:rPr>
                <w:rFonts w:ascii="Liberation Serif" w:eastAsia="Calibri" w:hAnsi="Liberation Serif" w:cs="Liberation Serif"/>
                <w:b/>
              </w:rPr>
            </w:pPr>
            <w:r w:rsidRPr="00582B02">
              <w:rPr>
                <w:rFonts w:ascii="Liberation Serif" w:eastAsia="Calibri" w:hAnsi="Liberation Serif" w:cs="Liberation Serif"/>
                <w:b/>
              </w:rPr>
              <w:t xml:space="preserve">ИНН </w:t>
            </w:r>
            <w:r w:rsidRPr="00582B02">
              <w:rPr>
                <w:rFonts w:ascii="Liberation Serif" w:eastAsia="Calibri" w:hAnsi="Liberation Serif" w:cs="Liberation Serif"/>
                <w:b/>
                <w:noProof/>
              </w:rPr>
              <w:t xml:space="preserve">6602007646 </w:t>
            </w:r>
            <w:r w:rsidRPr="00582B02">
              <w:rPr>
                <w:rFonts w:ascii="Liberation Serif" w:eastAsia="Calibri" w:hAnsi="Liberation Serif" w:cs="Liberation Serif"/>
                <w:b/>
              </w:rPr>
              <w:t xml:space="preserve">КПП </w:t>
            </w:r>
            <w:r w:rsidRPr="00582B02">
              <w:rPr>
                <w:rFonts w:ascii="Liberation Serif" w:eastAsia="Calibri" w:hAnsi="Liberation Serif" w:cs="Liberation Serif"/>
                <w:b/>
                <w:noProof/>
              </w:rPr>
              <w:t>667701001</w:t>
            </w:r>
          </w:p>
          <w:p w:rsidR="00582B02" w:rsidRPr="00582B02" w:rsidRDefault="00582B02" w:rsidP="00AE7C63">
            <w:pPr>
              <w:tabs>
                <w:tab w:val="left" w:pos="2025"/>
              </w:tabs>
              <w:spacing w:after="0" w:line="240" w:lineRule="auto"/>
              <w:ind w:firstLine="138"/>
              <w:rPr>
                <w:rFonts w:ascii="Liberation Serif" w:eastAsia="Calibri" w:hAnsi="Liberation Serif" w:cs="Liberation Serif"/>
                <w:b/>
              </w:rPr>
            </w:pPr>
            <w:r w:rsidRPr="00582B02">
              <w:rPr>
                <w:rFonts w:ascii="Liberation Serif" w:eastAsia="Calibri" w:hAnsi="Liberation Serif" w:cs="Liberation Serif"/>
                <w:b/>
              </w:rPr>
              <w:t xml:space="preserve">БИК </w:t>
            </w:r>
            <w:r w:rsidRPr="00582B02">
              <w:rPr>
                <w:rFonts w:ascii="Liberation Serif" w:eastAsia="Calibri" w:hAnsi="Liberation Serif" w:cs="Liberation Serif"/>
                <w:b/>
                <w:noProof/>
              </w:rPr>
              <w:t>016577551</w:t>
            </w:r>
            <w:r w:rsidRPr="00582B02">
              <w:rPr>
                <w:rFonts w:ascii="Liberation Serif" w:hAnsi="Liberation Serif" w:cs="Liberation Serif"/>
                <w:b/>
                <w:noProof/>
              </w:rPr>
              <w:tab/>
            </w:r>
          </w:p>
          <w:p w:rsidR="00582B02" w:rsidRPr="00582B02" w:rsidRDefault="00582B02" w:rsidP="00AE7C63">
            <w:pPr>
              <w:suppressLineNumbers/>
              <w:spacing w:after="0" w:line="240" w:lineRule="auto"/>
              <w:ind w:firstLine="138"/>
              <w:jc w:val="both"/>
              <w:rPr>
                <w:rFonts w:ascii="Liberation Serif" w:eastAsia="Calibri" w:hAnsi="Liberation Serif" w:cs="Liberation Serif"/>
                <w:b/>
              </w:rPr>
            </w:pPr>
            <w:r w:rsidRPr="00582B02">
              <w:rPr>
                <w:rFonts w:ascii="Liberation Serif" w:eastAsia="Calibri" w:hAnsi="Liberation Serif" w:cs="Liberation Serif"/>
                <w:b/>
              </w:rPr>
              <w:t xml:space="preserve">Расчетный счет </w:t>
            </w:r>
            <w:r w:rsidRPr="00582B02">
              <w:rPr>
                <w:rFonts w:ascii="Liberation Serif" w:eastAsia="Calibri" w:hAnsi="Liberation Serif" w:cs="Liberation Serif"/>
                <w:b/>
                <w:noProof/>
              </w:rPr>
              <w:t xml:space="preserve">03222643650000006200 </w:t>
            </w:r>
            <w:r w:rsidRPr="00582B02">
              <w:rPr>
                <w:rFonts w:ascii="Liberation Serif" w:eastAsia="Calibri" w:hAnsi="Liberation Serif" w:cs="Liberation Serif"/>
                <w:b/>
              </w:rPr>
              <w:t xml:space="preserve">в </w:t>
            </w:r>
            <w:r w:rsidRPr="00582B02">
              <w:rPr>
                <w:rFonts w:ascii="Liberation Serif" w:eastAsia="Calibri" w:hAnsi="Liberation Serif" w:cs="Liberation Serif"/>
                <w:b/>
                <w:noProof/>
              </w:rPr>
              <w:t>Уральское ГУ</w:t>
            </w:r>
            <w:r w:rsidRPr="00582B02">
              <w:rPr>
                <w:rFonts w:ascii="Liberation Serif" w:eastAsia="Calibri" w:hAnsi="Liberation Serif" w:cs="Liberation Serif"/>
                <w:b/>
              </w:rPr>
              <w:t xml:space="preserve"> Банка России // УФК по Свердловской области, г. Екатеринбург</w:t>
            </w:r>
          </w:p>
          <w:p w:rsidR="00582B02" w:rsidRPr="00582B02" w:rsidRDefault="00582B02" w:rsidP="00AE7C63">
            <w:pPr>
              <w:suppressLineNumbers/>
              <w:spacing w:after="0" w:line="240" w:lineRule="auto"/>
              <w:ind w:firstLine="138"/>
              <w:jc w:val="both"/>
              <w:rPr>
                <w:rFonts w:ascii="Liberation Serif" w:eastAsia="Calibri" w:hAnsi="Liberation Serif" w:cs="Liberation Serif"/>
                <w:b/>
              </w:rPr>
            </w:pPr>
            <w:r w:rsidRPr="00582B02">
              <w:rPr>
                <w:rFonts w:ascii="Liberation Serif" w:eastAsia="Calibri" w:hAnsi="Liberation Serif" w:cs="Liberation Serif"/>
                <w:b/>
              </w:rPr>
              <w:t xml:space="preserve">Корреспондентский счет </w:t>
            </w:r>
            <w:r w:rsidRPr="00582B02">
              <w:rPr>
                <w:rFonts w:ascii="Liberation Serif" w:eastAsia="Calibri" w:hAnsi="Liberation Serif" w:cs="Liberation Serif"/>
                <w:b/>
                <w:noProof/>
              </w:rPr>
              <w:t>40102810645370000054</w:t>
            </w:r>
          </w:p>
          <w:p w:rsidR="00582B02" w:rsidRPr="00582B02" w:rsidRDefault="00582B02" w:rsidP="00AE7C63">
            <w:pPr>
              <w:spacing w:after="0" w:line="240" w:lineRule="auto"/>
              <w:ind w:firstLine="138"/>
              <w:rPr>
                <w:rFonts w:ascii="Liberation Serif" w:eastAsia="Calibri" w:hAnsi="Liberation Serif" w:cs="Liberation Serif"/>
                <w:b/>
              </w:rPr>
            </w:pPr>
            <w:r w:rsidRPr="00582B02">
              <w:rPr>
                <w:rFonts w:ascii="Liberation Serif" w:eastAsia="Calibri" w:hAnsi="Liberation Serif" w:cs="Liberation Serif"/>
                <w:b/>
              </w:rPr>
              <w:t xml:space="preserve">Лицевой счет </w:t>
            </w:r>
            <w:r w:rsidRPr="00582B02">
              <w:rPr>
                <w:rFonts w:ascii="Liberation Serif" w:eastAsia="Calibri" w:hAnsi="Liberation Serif" w:cs="Liberation Serif"/>
                <w:b/>
                <w:noProof/>
              </w:rPr>
              <w:t>05041022850</w:t>
            </w:r>
          </w:p>
          <w:p w:rsidR="00582B02" w:rsidRPr="00582B02" w:rsidRDefault="00582B02" w:rsidP="00AE7C63">
            <w:pPr>
              <w:suppressLineNumbers/>
              <w:spacing w:after="0" w:line="240" w:lineRule="auto"/>
              <w:ind w:firstLine="138"/>
              <w:jc w:val="both"/>
              <w:rPr>
                <w:rFonts w:ascii="Liberation Serif" w:eastAsia="Calibri" w:hAnsi="Liberation Serif"/>
              </w:rPr>
            </w:pPr>
            <w:r w:rsidRPr="00582B02">
              <w:rPr>
                <w:rFonts w:ascii="Liberation Serif" w:eastAsia="Calibri" w:hAnsi="Liberation Serif" w:cs="Times New Roman"/>
                <w:b/>
              </w:rPr>
              <w:t>Назначение платежа - Обеспечение исполнения Контракта - предмет контракта и номер извещения об осуществлении закупки (№ извещения ________).</w:t>
            </w:r>
          </w:p>
        </w:tc>
      </w:tr>
    </w:tbl>
    <w:p w:rsidR="007532D3" w:rsidRDefault="007532D3"/>
    <w:sectPr w:rsidR="007532D3" w:rsidSect="00BA4E51">
      <w:headerReference w:type="default" r:id="rId9"/>
      <w:pgSz w:w="11906" w:h="16838"/>
      <w:pgMar w:top="15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09" w:rsidRDefault="009D0A09" w:rsidP="000A26A2">
      <w:pPr>
        <w:spacing w:after="0" w:line="240" w:lineRule="auto"/>
      </w:pPr>
      <w:r>
        <w:separator/>
      </w:r>
    </w:p>
  </w:endnote>
  <w:endnote w:type="continuationSeparator" w:id="1">
    <w:p w:rsidR="009D0A09" w:rsidRDefault="009D0A09" w:rsidP="000A2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09" w:rsidRDefault="009D0A09" w:rsidP="000A26A2">
      <w:pPr>
        <w:spacing w:after="0" w:line="240" w:lineRule="auto"/>
      </w:pPr>
      <w:r>
        <w:separator/>
      </w:r>
    </w:p>
  </w:footnote>
  <w:footnote w:type="continuationSeparator" w:id="1">
    <w:p w:rsidR="009D0A09" w:rsidRDefault="009D0A09" w:rsidP="000A2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0D" w:rsidRPr="00CE030D" w:rsidRDefault="00CE030D" w:rsidP="00CE030D">
    <w:pPr>
      <w:pStyle w:val="aa"/>
      <w:ind w:firstLine="708"/>
      <w:jc w:val="right"/>
      <w:rPr>
        <w:rFonts w:ascii="Liberation Serif" w:hAnsi="Liberation Serif" w:cs="Liberation Serif"/>
        <w:sz w:val="28"/>
        <w:szCs w:val="28"/>
      </w:rPr>
    </w:pPr>
    <w:r w:rsidRPr="00CE030D">
      <w:rPr>
        <w:rFonts w:ascii="Liberation Serif" w:hAnsi="Liberation Serif" w:cs="Liberation Serif"/>
        <w:sz w:val="28"/>
        <w:szCs w:val="28"/>
      </w:rPr>
      <w:t xml:space="preserve">Приложение </w:t>
    </w:r>
    <w:r>
      <w:rPr>
        <w:rFonts w:ascii="Liberation Serif" w:hAnsi="Liberation Serif" w:cs="Liberation Serif"/>
        <w:sz w:val="28"/>
        <w:szCs w:val="28"/>
      </w:rPr>
      <w:t>к</w:t>
    </w:r>
    <w:r w:rsidRPr="00CE030D">
      <w:rPr>
        <w:rFonts w:ascii="Liberation Serif" w:hAnsi="Liberation Serif" w:cs="Liberation Serif"/>
        <w:sz w:val="28"/>
        <w:szCs w:val="28"/>
      </w:rPr>
      <w:t xml:space="preserve"> </w:t>
    </w:r>
    <w:r w:rsidR="006F07B4">
      <w:rPr>
        <w:rFonts w:ascii="Liberation Serif" w:hAnsi="Liberation Serif" w:cs="Liberation Serif"/>
        <w:sz w:val="28"/>
        <w:szCs w:val="28"/>
      </w:rPr>
      <w:t>И</w:t>
    </w:r>
    <w:r w:rsidRPr="00CE030D">
      <w:rPr>
        <w:rFonts w:ascii="Liberation Serif" w:hAnsi="Liberation Serif" w:cs="Liberation Serif"/>
        <w:sz w:val="28"/>
        <w:szCs w:val="28"/>
      </w:rPr>
      <w:t>звещению об осуществлении закупки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847B0"/>
    <w:multiLevelType w:val="hybridMultilevel"/>
    <w:tmpl w:val="6414AA5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26A2"/>
    <w:rsid w:val="00033A3C"/>
    <w:rsid w:val="000A26A2"/>
    <w:rsid w:val="0013458F"/>
    <w:rsid w:val="00154FB3"/>
    <w:rsid w:val="00317E8F"/>
    <w:rsid w:val="00345CEE"/>
    <w:rsid w:val="00350085"/>
    <w:rsid w:val="00373F83"/>
    <w:rsid w:val="003A7999"/>
    <w:rsid w:val="0042482E"/>
    <w:rsid w:val="00447B39"/>
    <w:rsid w:val="00582B02"/>
    <w:rsid w:val="005C110E"/>
    <w:rsid w:val="00641FCA"/>
    <w:rsid w:val="00694A65"/>
    <w:rsid w:val="006D1018"/>
    <w:rsid w:val="006F07B4"/>
    <w:rsid w:val="00714E9A"/>
    <w:rsid w:val="00744298"/>
    <w:rsid w:val="007532D3"/>
    <w:rsid w:val="0076270D"/>
    <w:rsid w:val="00766E34"/>
    <w:rsid w:val="00766F02"/>
    <w:rsid w:val="007A4939"/>
    <w:rsid w:val="007E4E45"/>
    <w:rsid w:val="00837C84"/>
    <w:rsid w:val="008722A3"/>
    <w:rsid w:val="00873643"/>
    <w:rsid w:val="008832EA"/>
    <w:rsid w:val="00960D16"/>
    <w:rsid w:val="009D0A09"/>
    <w:rsid w:val="00A4784E"/>
    <w:rsid w:val="00AA0719"/>
    <w:rsid w:val="00AE7C63"/>
    <w:rsid w:val="00B870C1"/>
    <w:rsid w:val="00B97215"/>
    <w:rsid w:val="00BA4E51"/>
    <w:rsid w:val="00BC5D3E"/>
    <w:rsid w:val="00BD30B2"/>
    <w:rsid w:val="00BD59E0"/>
    <w:rsid w:val="00C10F39"/>
    <w:rsid w:val="00CE030D"/>
    <w:rsid w:val="00CF1C2D"/>
    <w:rsid w:val="00D4482E"/>
    <w:rsid w:val="00E40E98"/>
    <w:rsid w:val="00E77522"/>
    <w:rsid w:val="00F43BD8"/>
    <w:rsid w:val="00FD10D2"/>
    <w:rsid w:val="00FD3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A26A2"/>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uiPriority w:val="99"/>
    <w:rsid w:val="000A26A2"/>
    <w:rPr>
      <w:rFonts w:ascii="Times New Roman" w:eastAsia="Times New Roman" w:hAnsi="Times New Roman" w:cs="Times New Roman"/>
      <w:sz w:val="20"/>
      <w:szCs w:val="20"/>
      <w:lang w:eastAsia="ar-SA"/>
    </w:rPr>
  </w:style>
  <w:style w:type="character" w:styleId="a5">
    <w:name w:val="footnote reference"/>
    <w:uiPriority w:val="99"/>
    <w:semiHidden/>
    <w:unhideWhenUsed/>
    <w:rsid w:val="000A26A2"/>
    <w:rPr>
      <w:vertAlign w:val="superscript"/>
    </w:rPr>
  </w:style>
  <w:style w:type="character" w:styleId="a6">
    <w:name w:val="Hyperlink"/>
    <w:basedOn w:val="a0"/>
    <w:uiPriority w:val="99"/>
    <w:unhideWhenUsed/>
    <w:rsid w:val="000A26A2"/>
    <w:rPr>
      <w:color w:val="0000FF" w:themeColor="hyperlink"/>
      <w:u w:val="single"/>
    </w:rPr>
  </w:style>
  <w:style w:type="paragraph" w:styleId="a7">
    <w:name w:val="List Paragraph"/>
    <w:basedOn w:val="a"/>
    <w:uiPriority w:val="34"/>
    <w:qFormat/>
    <w:rsid w:val="00C10F39"/>
    <w:pPr>
      <w:ind w:left="720"/>
      <w:contextualSpacing/>
    </w:pPr>
  </w:style>
  <w:style w:type="paragraph" w:styleId="a8">
    <w:name w:val="Balloon Text"/>
    <w:basedOn w:val="a"/>
    <w:link w:val="a9"/>
    <w:uiPriority w:val="99"/>
    <w:semiHidden/>
    <w:unhideWhenUsed/>
    <w:rsid w:val="00F43B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43BD8"/>
    <w:rPr>
      <w:rFonts w:ascii="Segoe UI" w:hAnsi="Segoe UI" w:cs="Segoe UI"/>
      <w:sz w:val="18"/>
      <w:szCs w:val="18"/>
    </w:rPr>
  </w:style>
  <w:style w:type="paragraph" w:styleId="aa">
    <w:name w:val="header"/>
    <w:basedOn w:val="a"/>
    <w:link w:val="ab"/>
    <w:uiPriority w:val="99"/>
    <w:unhideWhenUsed/>
    <w:rsid w:val="00CE03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030D"/>
  </w:style>
  <w:style w:type="paragraph" w:styleId="ac">
    <w:name w:val="footer"/>
    <w:basedOn w:val="a"/>
    <w:link w:val="ad"/>
    <w:uiPriority w:val="99"/>
    <w:unhideWhenUsed/>
    <w:rsid w:val="00CE03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030D"/>
  </w:style>
  <w:style w:type="paragraph" w:customStyle="1" w:styleId="ae">
    <w:name w:val="Содержимое таблицы"/>
    <w:basedOn w:val="a"/>
    <w:rsid w:val="00582B02"/>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Ковпак</cp:lastModifiedBy>
  <cp:revision>17</cp:revision>
  <cp:lastPrinted>2022-01-11T03:38:00Z</cp:lastPrinted>
  <dcterms:created xsi:type="dcterms:W3CDTF">2022-01-19T09:33:00Z</dcterms:created>
  <dcterms:modified xsi:type="dcterms:W3CDTF">2022-01-28T09:53:00Z</dcterms:modified>
</cp:coreProperties>
</file>