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Инструкция пользователя</w:t>
      </w:r>
      <w:r/>
    </w:p>
    <w:p>
      <w:pPr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Организация работы ВКС</w:t>
      </w:r>
      <w:r/>
    </w:p>
    <w:p>
      <w:r/>
      <w:r/>
    </w:p>
    <w:p>
      <w:r>
        <w:t xml:space="preserve">Работа видеоконференцсвязи основана на базе открытой программной системы </w:t>
      </w:r>
      <w:r>
        <w:t xml:space="preserve">Open</w:t>
      </w:r>
      <w:r>
        <w:rPr>
          <w:lang w:val="en-US"/>
        </w:rPr>
        <w:t xml:space="preserve">M</w:t>
      </w:r>
      <w:r>
        <w:t xml:space="preserve">eetings</w:t>
      </w:r>
      <w:r>
        <w:t xml:space="preserve">, которая предоставляет услуги видеоконференцсвязи, обмена мгновенными сообщениями, белой доски, совместного редактирования документов и других инструментов групповой работы. </w:t>
      </w:r>
      <w:r/>
    </w:p>
    <w:p>
      <w:pPr>
        <w:rPr>
          <w:b/>
        </w:rPr>
      </w:pPr>
      <w:r>
        <w:rPr>
          <w:b/>
        </w:rPr>
        <w:t xml:space="preserve">Важно! Для того, чтобы организовать работу видеоконференцсвязи необходимо наличие камеры, микрофона и динамиков на а</w:t>
      </w:r>
      <w:r>
        <w:rPr>
          <w:b/>
        </w:rPr>
        <w:t xml:space="preserve">втоматизированном рабочем месте, а также безопасного соединения, организованного из локально</w:t>
      </w:r>
      <w:r>
        <w:rPr>
          <w:b/>
        </w:rPr>
        <w:t xml:space="preserve">й</w:t>
      </w:r>
      <w:r>
        <w:rPr>
          <w:b/>
        </w:rPr>
        <w:t xml:space="preserve"> сети.</w:t>
      </w:r>
      <w:r/>
    </w:p>
    <w:p>
      <w:r/>
      <w:r/>
    </w:p>
    <w:p>
      <w:r>
        <w:t xml:space="preserve">Для начала работы со средствами </w:t>
      </w:r>
      <w:r>
        <w:t xml:space="preserve">OpenMeetings</w:t>
      </w:r>
      <w:r>
        <w:t xml:space="preserve"> необходимо</w:t>
      </w:r>
      <w:r>
        <w:t xml:space="preserve"> </w:t>
      </w:r>
      <w:r>
        <w:t xml:space="preserve">в браузере </w:t>
      </w:r>
      <w:r>
        <w:t xml:space="preserve">в строке адреса ввести</w:t>
      </w:r>
      <w:r>
        <w:t xml:space="preserve"> 10.0.16.35</w:t>
      </w:r>
      <w:r>
        <w:t xml:space="preserve"> (</w:t>
      </w:r>
      <w:r>
        <w:t xml:space="preserve">https://10.0.16.35/openmeetings/signin</w:t>
      </w:r>
      <w:r>
        <w:t xml:space="preserve">)</w:t>
      </w:r>
      <w:r>
        <w:t xml:space="preserve">. При переходе </w:t>
      </w:r>
      <w:r>
        <w:t xml:space="preserve">по данной ссылке </w:t>
      </w:r>
      <w:r>
        <w:t xml:space="preserve">пользователю высветится окно авторизации. </w:t>
      </w:r>
      <w:r>
        <w:t xml:space="preserve">В </w:t>
      </w:r>
      <w:r>
        <w:t xml:space="preserve">нем</w:t>
      </w:r>
      <w:r>
        <w:t xml:space="preserve"> необходимо ввести имя пользователя в </w:t>
      </w:r>
      <w:r>
        <w:t xml:space="preserve">формате</w:t>
      </w:r>
      <w:r>
        <w:t xml:space="preserve"> </w:t>
      </w:r>
      <w:r>
        <w:t xml:space="preserve">i.ivanov</w:t>
      </w:r>
      <w:r>
        <w:t xml:space="preserve">, пароль от доменной учетной записи и выбрать домен: egov66.ru (рис. 1).</w:t>
      </w:r>
      <w:r/>
    </w:p>
    <w:p>
      <w:pPr>
        <w:ind w:firstLine="0"/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00550" cy="2638425"/>
                <wp:effectExtent l="0" t="0" r="0" b="9525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400550" cy="2638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46.5pt;height:207.8pt;" stroked="false">
                <v:path textboxrect="0,0,0,0"/>
                <v:imagedata r:id="rId7" o:title=""/>
              </v:shape>
            </w:pict>
          </mc:Fallback>
        </mc:AlternateContent>
      </w:r>
      <w:r/>
    </w:p>
    <w:p>
      <w:pPr>
        <w:ind w:firstLine="0"/>
        <w:jc w:val="center"/>
      </w:pPr>
      <w:r>
        <w:t xml:space="preserve">Рисунок 1 – Авторизация</w:t>
      </w:r>
      <w:r/>
    </w:p>
    <w:p>
      <w:r>
        <w:t xml:space="preserve">После авторизации вам будет </w:t>
      </w:r>
      <w:r>
        <w:t xml:space="preserve">открыто окно с дост</w:t>
      </w:r>
      <w:r>
        <w:t xml:space="preserve">упными комнатами</w:t>
      </w:r>
      <w:r>
        <w:t xml:space="preserve">, в которых можно организовать ВКС (рис. 2).</w:t>
      </w:r>
      <w:r/>
    </w:p>
    <w:p>
      <w:r/>
      <w:r/>
    </w:p>
    <w:p>
      <w:pPr>
        <w:ind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2805" cy="3094355"/>
                <wp:effectExtent l="0" t="0" r="0" b="0"/>
                <wp:docPr id="2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32805" cy="309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7.1pt;height:243.6pt;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firstLine="0"/>
        <w:jc w:val="center"/>
      </w:pPr>
      <w:r>
        <w:t xml:space="preserve">Рисунок 2 – Комнаты для организации работы ВКС</w:t>
      </w:r>
      <w:r/>
    </w:p>
    <w:p>
      <w:r>
        <w:t xml:space="preserve">При выборе первой вкладки «На главную» пользователю предоставляется выбор: открыть профиль или перечень совещаний.  Домашняя страница загружается при входе </w:t>
      </w:r>
      <w:r>
        <w:t xml:space="preserve">и имеет вид, представленный на рисунке 2. </w:t>
      </w:r>
      <w:r/>
    </w:p>
    <w:p>
      <w:r>
        <w:t xml:space="preserve">Список совещаний отображается в виде календаря. В верхней части экрана расположены стрелки для </w:t>
      </w:r>
      <w:r>
        <w:t xml:space="preserve">пролистывания</w:t>
      </w:r>
      <w:r>
        <w:t xml:space="preserve"> месяца или года</w:t>
      </w:r>
      <w:r>
        <w:t xml:space="preserve">. В правой части экрана пользователю предоставляется возможность выбора отображения совещаний</w:t>
      </w:r>
      <w:r>
        <w:t xml:space="preserve"> </w:t>
      </w:r>
      <w:r>
        <w:t xml:space="preserve">на текущий день, неделю или месяц </w:t>
      </w:r>
      <w:r>
        <w:t xml:space="preserve">(рис. 3).</w:t>
      </w:r>
      <w:r/>
    </w:p>
    <w:p>
      <w:pPr>
        <w:ind w:firstLine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2805" cy="3061970"/>
                <wp:effectExtent l="0" t="0" r="0" b="0"/>
                <wp:docPr id="3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/>
                      </pic:nvPicPr>
                      <pic:blipFill>
                        <a:blip r:embed="rId9"/>
                        <a:srcRect l="0" t="0" r="0" b="3036"/>
                        <a:stretch/>
                      </pic:blipFill>
                      <pic:spPr bwMode="auto">
                        <a:xfrm>
                          <a:off x="0" y="0"/>
                          <a:ext cx="5932805" cy="306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67.1pt;height:241.1pt;">
                <v:path textboxrect="0,0,0,0"/>
                <v:imagedata r:id="rId9" o:title=""/>
              </v:shape>
            </w:pict>
          </mc:Fallback>
        </mc:AlternateContent>
      </w:r>
      <w:r/>
    </w:p>
    <w:p>
      <w:r>
        <w:t xml:space="preserve">Чтобы создать новое событие/совещание необходимо выбрать день и кликнуть на него один раз левой кнопкой мыши. Действие будет сопровождено выплывающим окном о деталях нового события (рис. 4).</w:t>
      </w:r>
      <w:r/>
    </w:p>
    <w:p>
      <w:pPr>
        <w:ind w:firstLine="0"/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11703" cy="3132485"/>
                <wp:effectExtent l="0" t="0" r="0" b="0"/>
                <wp:docPr id="4" name="Рисунок 1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hidden="0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rcRect l="0" t="2644" r="483" b="0"/>
                        <a:stretch/>
                      </pic:blipFill>
                      <pic:spPr bwMode="auto">
                        <a:xfrm>
                          <a:off x="0" y="0"/>
                          <a:ext cx="5911703" cy="3132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65.5pt;height:246.7pt;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firstLine="0"/>
        <w:jc w:val="center"/>
      </w:pPr>
      <w:r>
        <w:t xml:space="preserve">Рисунок 4 – Детали нового события</w:t>
      </w:r>
      <w:r/>
    </w:p>
    <w:p>
      <w:r>
        <w:t xml:space="preserve">Вкладка комнаты открывает перечень публичных, приватных и личных комнат. Публичные – комнаты, которыми могут пользоваться все пользователи, приватные – комнаты, ко</w:t>
      </w:r>
      <w:r>
        <w:t xml:space="preserve">торыми могут пользоваться сотрудники одной организации, личные – комнаты для персонального использования, которые созданы через календарь, у них есть начало и конец жизни, то есть они отображаются только в тот момент, когда ими можно пользоваться (рис. 5).</w:t>
      </w:r>
      <w:r/>
    </w:p>
    <w:p>
      <w:pPr>
        <w:ind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8895" cy="3125972"/>
                <wp:effectExtent l="0" t="0" r="5080" b="0"/>
                <wp:docPr id="5" name="Рисунок 1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hidden="0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rcRect l="0" t="1909" r="0" b="4512"/>
                        <a:stretch/>
                      </pic:blipFill>
                      <pic:spPr bwMode="auto">
                        <a:xfrm>
                          <a:off x="0" y="0"/>
                          <a:ext cx="5940425" cy="3126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67.6pt;height:246.1pt;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firstLine="0"/>
        <w:jc w:val="center"/>
      </w:pPr>
      <w:r>
        <w:t xml:space="preserve">Рисунок 5 – Вкладка комнаты</w:t>
      </w:r>
      <w:r/>
    </w:p>
    <w:p>
      <w:r>
        <w:t xml:space="preserve">Для того, чтобы зайти в комнату, необходимо выбрать вкладку «Приватные комнаты» и нажать кнопку «Вход» (рис. 6).</w:t>
      </w:r>
      <w:r/>
    </w:p>
    <w:p>
      <w:pPr>
        <w:ind w:firstLine="0"/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9809" cy="3094074"/>
                <wp:effectExtent l="0" t="0" r="3810" b="0"/>
                <wp:docPr id="6" name="Рисунок 1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 hidden="0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0" t="1909" r="0" b="5481"/>
                        <a:stretch/>
                      </pic:blipFill>
                      <pic:spPr bwMode="auto">
                        <a:xfrm>
                          <a:off x="0" y="0"/>
                          <a:ext cx="5940425" cy="3094395"/>
                        </a:xfrm>
                        <a:prstGeom prst="rect">
                          <a:avLst/>
                        </a:prstGeom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67.7pt;height:243.6pt;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firstLine="0"/>
        <w:jc w:val="center"/>
      </w:pPr>
      <w:r>
        <w:t xml:space="preserve">Рисунок 6 – Вход в комнату</w:t>
      </w:r>
      <w:r/>
    </w:p>
    <w:p>
      <w:r>
        <w:t xml:space="preserve">После чего пользователь</w:t>
      </w:r>
      <w:r>
        <w:t xml:space="preserve"> будет перенаправлен в выбранную комнату. Слева в открытом окне отображается перечень участников, в верхней строке пользователь может выйти из комнаты, прикрепить и отправить участникам файл, совершить действие (отправить приглашение, сделать экран общим, </w:t>
      </w:r>
      <w:r>
        <w:t xml:space="preserve">отправить заявку на </w:t>
      </w:r>
      <w:r>
        <w:t xml:space="preserve">модерацию</w:t>
      </w:r>
      <w:r>
        <w:t xml:space="preserve"> и т.д.) и создать голосование (опрос, быстрый опрос, результаты опроса или проголосовать) (рис. 7).</w:t>
      </w:r>
      <w:r/>
    </w:p>
    <w:p>
      <w:pPr>
        <w:ind w:firstLine="0"/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040911"/>
                <wp:effectExtent l="0" t="0" r="3175" b="7620"/>
                <wp:docPr id="7" name="Рисунок 1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 hidden="0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rcRect l="0" t="0" r="0" b="8992"/>
                        <a:stretch/>
                      </pic:blipFill>
                      <pic:spPr bwMode="auto">
                        <a:xfrm>
                          <a:off x="0" y="0"/>
                          <a:ext cx="5940425" cy="3040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67.8pt;height:239.4pt;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firstLine="0"/>
        <w:jc w:val="center"/>
      </w:pPr>
      <w:r>
        <w:t xml:space="preserve">Рисунок 7 – Приватная комната</w:t>
      </w:r>
      <w:r/>
    </w:p>
    <w:p>
      <w:r>
        <w:t xml:space="preserve">Для того, чтобы пригласить участников на конференцию необходимо выбрать вкладку </w:t>
      </w:r>
      <w:r>
        <w:t xml:space="preserve">«Д</w:t>
      </w:r>
      <w:r>
        <w:t xml:space="preserve">ействия</w:t>
      </w:r>
      <w:r>
        <w:t xml:space="preserve">»</w:t>
      </w:r>
      <w:r>
        <w:t xml:space="preserve"> и выбрать строку «Отправить приглашение»</w:t>
      </w:r>
      <w:r>
        <w:t xml:space="preserve">. Действие откроет диалоговое окно с параметрами приглашения (рис. 8).</w:t>
      </w:r>
      <w:r/>
    </w:p>
    <w:p>
      <w:pPr>
        <w:ind w:firstLine="0"/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9747" cy="2923953"/>
                <wp:effectExtent l="0" t="0" r="4445" b="0"/>
                <wp:docPr id="8" name="Рисунок 16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" hidden="0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rcRect l="0" t="3305" r="0" b="5810"/>
                        <a:stretch/>
                      </pic:blipFill>
                      <pic:spPr bwMode="auto">
                        <a:xfrm>
                          <a:off x="0" y="0"/>
                          <a:ext cx="5940425" cy="2924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467.7pt;height:230.2pt;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ind w:firstLine="0"/>
        <w:jc w:val="center"/>
      </w:pPr>
      <w:r>
        <w:t xml:space="preserve">Рисунок 8 – Параметры приглашения</w:t>
      </w:r>
      <w:r/>
    </w:p>
    <w:p>
      <w:r>
        <w:t xml:space="preserve">В открывшемся меню пользователю необходимо</w:t>
      </w:r>
      <w:r>
        <w:t xml:space="preserve"> заполнить тему, выбрать получателей и сгенерировать ссылку, </w:t>
      </w:r>
      <w:r>
        <w:t xml:space="preserve">а также </w:t>
      </w:r>
      <w:r>
        <w:t xml:space="preserve">указать период </w:t>
      </w:r>
      <w:r>
        <w:t xml:space="preserve">проведения</w:t>
      </w:r>
      <w:r>
        <w:t xml:space="preserve">. Приглашение будет выслано при нажатии на кнопку «Отправить». Для безопасности приглашение можно защитить паролем.</w:t>
      </w:r>
      <w:r/>
    </w:p>
    <w:p>
      <w:r>
        <w:t xml:space="preserve">Для организации отдель</w:t>
      </w:r>
      <w:r>
        <w:t xml:space="preserve">ной конференц-</w:t>
      </w:r>
      <w:r>
        <w:t xml:space="preserve">группы </w:t>
      </w:r>
      <w:r>
        <w:t xml:space="preserve">необходимо</w:t>
      </w:r>
      <w:r>
        <w:t xml:space="preserve"> сообщить электронным письмом на адрес  </w:t>
      </w:r>
      <w:hyperlink r:id="rId15" w:history="1">
        <w:r>
          <w:rPr>
            <w:rStyle w:val="372"/>
            <w:lang w:val="en-US"/>
          </w:rPr>
          <w:t xml:space="preserve">a</w:t>
        </w:r>
        <w:r>
          <w:rPr>
            <w:rStyle w:val="372"/>
          </w:rPr>
          <w:t xml:space="preserve">.</w:t>
        </w:r>
        <w:r>
          <w:rPr>
            <w:rStyle w:val="372"/>
            <w:lang w:val="en-US"/>
          </w:rPr>
          <w:t xml:space="preserve">saburov</w:t>
        </w:r>
        <w:r>
          <w:rPr>
            <w:rStyle w:val="372"/>
          </w:rPr>
          <w:t xml:space="preserve">@</w:t>
        </w:r>
        <w:r>
          <w:rPr>
            <w:rStyle w:val="372"/>
            <w:lang w:val="en-US"/>
          </w:rPr>
          <w:t xml:space="preserve">egov</w:t>
        </w:r>
        <w:r>
          <w:rPr>
            <w:rStyle w:val="372"/>
          </w:rPr>
          <w:t xml:space="preserve">66.</w:t>
        </w:r>
        <w:r>
          <w:rPr>
            <w:rStyle w:val="372"/>
            <w:lang w:val="en-US"/>
          </w:rPr>
          <w:t xml:space="preserve">ru</w:t>
        </w:r>
      </w:hyperlink>
      <w:r/>
      <w:bookmarkStart w:id="0" w:name="_GoBack"/>
      <w:r/>
      <w:bookmarkEnd w:id="0"/>
      <w:r>
        <w:t xml:space="preserve"> </w:t>
      </w:r>
      <w:r>
        <w:t xml:space="preserve">с темой «ВКС» список логино</w:t>
      </w:r>
      <w:r>
        <w:t xml:space="preserve">в и желаемое название конференц-</w:t>
      </w:r>
      <w:r>
        <w:t xml:space="preserve">группы</w:t>
      </w:r>
      <w:r>
        <w:t xml:space="preserve">. Созданная конференц-группа будет отображ</w:t>
      </w:r>
      <w:r>
        <w:t xml:space="preserve">аться отдельной вкладкой (рис. 9</w:t>
      </w:r>
      <w:r>
        <w:t xml:space="preserve">).</w:t>
      </w:r>
      <w:r/>
    </w:p>
    <w:p>
      <w:pPr>
        <w:ind w:firstLine="0"/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76825" cy="2781300"/>
                <wp:effectExtent l="0" t="0" r="9525" b="0"/>
                <wp:docPr id="9" name="Рисунок 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" hidden="0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076825" cy="278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399.8pt;height:219.0pt;" stroked="false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firstLine="0"/>
        <w:jc w:val="center"/>
      </w:pPr>
      <w:r>
        <w:t xml:space="preserve">Рисунок 9</w:t>
      </w:r>
      <w:r>
        <w:t xml:space="preserve"> – Созданная по запросу конференц-группа</w:t>
      </w:r>
      <w:r/>
    </w:p>
    <w:p>
      <w:r>
        <w:t xml:space="preserve">В правом верхнем углу также расположена информация о пользователе: контакты и сообщения (входящие, оправленные и корзина), профиль пользователя с возможным изменением настроек, </w:t>
      </w:r>
      <w:r>
        <w:t xml:space="preserve">а также кнопка выхода (рис. 10).</w:t>
      </w:r>
      <w:r/>
    </w:p>
    <w:p>
      <w:pPr>
        <w:ind w:firstLine="0"/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072809"/>
                <wp:effectExtent l="0" t="0" r="3175" b="0"/>
                <wp:docPr id="10" name="Рисунок 17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 hidden="0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rcRect l="0" t="0" r="0" b="8037"/>
                        <a:stretch/>
                      </pic:blipFill>
                      <pic:spPr bwMode="auto">
                        <a:xfrm>
                          <a:off x="0" y="0"/>
                          <a:ext cx="5940425" cy="3072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467.8pt;height:242.0pt;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ind w:firstLine="0"/>
        <w:jc w:val="center"/>
      </w:pPr>
      <w:r>
        <w:t xml:space="preserve">Рисунок 10 – Контактная информация</w:t>
      </w:r>
      <w:r/>
    </w:p>
    <w:sectPr>
      <w:footnotePr/>
      <w:type w:val="nextPage"/>
      <w:pgSz w:w="11906" w:h="16838" w:orient="portrait"/>
      <w:pgMar w:top="1134" w:right="850" w:bottom="1134" w:left="1701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68"/>
    <w:next w:val="36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6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68"/>
    <w:next w:val="36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6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68"/>
    <w:next w:val="36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6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68"/>
    <w:next w:val="36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6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68"/>
    <w:next w:val="36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6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68"/>
    <w:next w:val="36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6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68"/>
    <w:next w:val="3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6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68"/>
    <w:next w:val="3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6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68"/>
    <w:next w:val="3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6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6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68"/>
    <w:next w:val="36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69"/>
    <w:link w:val="32"/>
    <w:uiPriority w:val="10"/>
    <w:rPr>
      <w:sz w:val="48"/>
      <w:szCs w:val="48"/>
    </w:rPr>
  </w:style>
  <w:style w:type="paragraph" w:styleId="34">
    <w:name w:val="Subtitle"/>
    <w:basedOn w:val="368"/>
    <w:next w:val="36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69"/>
    <w:link w:val="34"/>
    <w:uiPriority w:val="11"/>
    <w:rPr>
      <w:sz w:val="24"/>
      <w:szCs w:val="24"/>
    </w:rPr>
  </w:style>
  <w:style w:type="paragraph" w:styleId="36">
    <w:name w:val="Quote"/>
    <w:basedOn w:val="368"/>
    <w:next w:val="3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68"/>
    <w:next w:val="36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6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69"/>
    <w:link w:val="40"/>
    <w:uiPriority w:val="99"/>
  </w:style>
  <w:style w:type="paragraph" w:styleId="42">
    <w:name w:val="Footer"/>
    <w:basedOn w:val="36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69"/>
    <w:link w:val="42"/>
    <w:uiPriority w:val="99"/>
  </w:style>
  <w:style w:type="table" w:styleId="44">
    <w:name w:val="Table Grid"/>
    <w:basedOn w:val="37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7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4">
    <w:name w:val="List Table 7 Colorful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5">
    <w:name w:val="List Table 7 Colorful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6">
    <w:name w:val="List Table 7 Colorful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7">
    <w:name w:val="List Table 7 Colorful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8">
    <w:name w:val="List Table 7 Colorful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9">
    <w:name w:val="Lined - Accent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1">
    <w:name w:val="footnote text"/>
    <w:basedOn w:val="36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369"/>
    <w:uiPriority w:val="99"/>
    <w:unhideWhenUsed/>
    <w:rPr>
      <w:vertAlign w:val="superscript"/>
    </w:rPr>
  </w:style>
  <w:style w:type="paragraph" w:styleId="174">
    <w:name w:val="toc 1"/>
    <w:basedOn w:val="368"/>
    <w:next w:val="36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68"/>
    <w:next w:val="36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68"/>
    <w:next w:val="36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68"/>
    <w:next w:val="36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68"/>
    <w:next w:val="36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68"/>
    <w:next w:val="36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68"/>
    <w:next w:val="36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68"/>
    <w:next w:val="36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68"/>
    <w:next w:val="36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68" w:default="1">
    <w:name w:val="Normal"/>
    <w:qFormat/>
    <w:rPr>
      <w:rFonts w:ascii="Times New Roman" w:hAnsi="Times New Roman"/>
      <w:sz w:val="28"/>
    </w:rPr>
    <w:pPr>
      <w:ind w:firstLine="709"/>
      <w:jc w:val="both"/>
      <w:spacing w:lineRule="auto" w:line="360" w:after="0"/>
    </w:pPr>
  </w:style>
  <w:style w:type="character" w:styleId="369" w:default="1">
    <w:name w:val="Default Paragraph Font"/>
    <w:uiPriority w:val="1"/>
    <w:unhideWhenUsed/>
  </w:style>
  <w:style w:type="table" w:styleId="3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1" w:default="1">
    <w:name w:val="No List"/>
    <w:uiPriority w:val="99"/>
    <w:semiHidden/>
    <w:unhideWhenUsed/>
  </w:style>
  <w:style w:type="character" w:styleId="372">
    <w:name w:val="Hyperlink"/>
    <w:basedOn w:val="369"/>
    <w:uiPriority w:val="99"/>
    <w:unhideWhenUsed/>
    <w:rPr>
      <w:color w:val="0563C1" w:themeColor="hyperlink"/>
      <w:u w:val="single"/>
    </w:rPr>
  </w:style>
  <w:style w:type="character" w:styleId="373">
    <w:name w:val="FollowedHyperlink"/>
    <w:basedOn w:val="369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mailto:a.saburov@egov66.ru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>KrotySOFT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Saburov-AS</dc:creator>
  <cp:keywords/>
  <dc:description/>
  <cp:lastModifiedBy>Аноним</cp:lastModifiedBy>
  <cp:revision>14</cp:revision>
  <dcterms:created xsi:type="dcterms:W3CDTF">2020-03-24T02:51:00Z</dcterms:created>
  <dcterms:modified xsi:type="dcterms:W3CDTF">2020-03-24T12:03:49Z</dcterms:modified>
</cp:coreProperties>
</file>