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FB" w:rsidRDefault="00312749">
      <w:pPr>
        <w:spacing w:after="72"/>
        <w:jc w:val="right"/>
      </w:pPr>
      <w:bookmarkStart w:id="0" w:name="_GoBack"/>
      <w:bookmarkEnd w:id="0"/>
      <w:r>
        <w:rPr>
          <w:rStyle w:val="a6"/>
          <w:rFonts w:ascii="Arial Narrow" w:hAnsi="Arial Narrow"/>
          <w:b w:val="0"/>
          <w:i/>
          <w:sz w:val="20"/>
          <w:szCs w:val="20"/>
        </w:rPr>
        <w:t xml:space="preserve"> </w:t>
      </w:r>
    </w:p>
    <w:p w:rsidR="00EF6FFB" w:rsidRDefault="00312749">
      <w:pPr>
        <w:spacing w:after="72"/>
        <w:jc w:val="center"/>
      </w:pPr>
      <w:r>
        <w:rPr>
          <w:rFonts w:ascii="Liberation Serif" w:hAnsi="Liberation Serif"/>
          <w:noProof/>
          <w:color w:val="1F497D"/>
        </w:rPr>
        <w:drawing>
          <wp:inline distT="0" distB="0" distL="0" distR="0">
            <wp:extent cx="1152528" cy="1152528"/>
            <wp:effectExtent l="0" t="0" r="9522" b="9522"/>
            <wp:docPr id="1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8" cy="1152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6FFB" w:rsidRDefault="00312749">
      <w:pPr>
        <w:spacing w:after="72"/>
        <w:jc w:val="center"/>
        <w:rPr>
          <w:rFonts w:ascii="Liberation Serif" w:hAnsi="Liberation Serif" w:cs="Arial"/>
          <w:b/>
          <w:bCs/>
          <w:i/>
          <w:iCs/>
        </w:rPr>
      </w:pPr>
      <w:r>
        <w:rPr>
          <w:rFonts w:ascii="Liberation Serif" w:hAnsi="Liberation Serif" w:cs="Arial"/>
          <w:b/>
          <w:bCs/>
          <w:i/>
          <w:iCs/>
        </w:rPr>
        <w:t>ПРОГРАММА СЕМИНАРА</w:t>
      </w:r>
    </w:p>
    <w:p w:rsidR="00EF6FFB" w:rsidRDefault="00EF6FFB">
      <w:pPr>
        <w:spacing w:after="72"/>
        <w:jc w:val="center"/>
        <w:rPr>
          <w:rFonts w:ascii="Liberation Serif" w:hAnsi="Liberation Serif" w:cs="Arial"/>
          <w:b/>
          <w:bCs/>
          <w:i/>
          <w:iCs/>
        </w:rPr>
      </w:pPr>
    </w:p>
    <w:p w:rsidR="00EF6FFB" w:rsidRDefault="00312749">
      <w:pPr>
        <w:spacing w:after="72"/>
        <w:jc w:val="center"/>
        <w:rPr>
          <w:rFonts w:ascii="Liberation Serif" w:hAnsi="Liberation Serif" w:cs="Arial"/>
          <w:b/>
          <w:bCs/>
          <w:i/>
          <w:iCs/>
        </w:rPr>
      </w:pPr>
      <w:r>
        <w:rPr>
          <w:rFonts w:ascii="Liberation Serif" w:hAnsi="Liberation Serif" w:cs="Arial"/>
          <w:b/>
          <w:bCs/>
          <w:i/>
          <w:iCs/>
        </w:rPr>
        <w:t>15 октября 2020г</w:t>
      </w:r>
    </w:p>
    <w:p w:rsidR="00EF6FFB" w:rsidRDefault="00EF6FFB">
      <w:pPr>
        <w:spacing w:after="72"/>
        <w:jc w:val="center"/>
        <w:rPr>
          <w:rFonts w:ascii="Liberation Serif" w:hAnsi="Liberation Serif" w:cs="Arial"/>
          <w:b/>
          <w:bCs/>
          <w:i/>
          <w:iCs/>
        </w:rPr>
      </w:pPr>
    </w:p>
    <w:p w:rsidR="00EF6FFB" w:rsidRDefault="00312749">
      <w:r>
        <w:rPr>
          <w:rFonts w:ascii="Liberation Serif" w:hAnsi="Liberation Serif" w:cs="Arial"/>
          <w:b/>
          <w:bCs/>
        </w:rPr>
        <w:t>Ссылка на вебинар</w:t>
      </w:r>
      <w:r>
        <w:rPr>
          <w:rFonts w:ascii="Liberation Serif" w:hAnsi="Liberation Serif" w:cs="Arial"/>
          <w:b/>
          <w:bCs/>
          <w:color w:val="005AD2"/>
          <w:sz w:val="21"/>
          <w:szCs w:val="21"/>
        </w:rPr>
        <w:t>:</w:t>
      </w:r>
      <w:r>
        <w:rPr>
          <w:rFonts w:ascii="Liberation Serif" w:hAnsi="Liberation Serif" w:cs="Arial"/>
          <w:color w:val="005AD2"/>
          <w:sz w:val="21"/>
          <w:szCs w:val="21"/>
        </w:rPr>
        <w:t xml:space="preserve"> </w:t>
      </w:r>
      <w:hyperlink r:id="rId8" w:history="1">
        <w:r>
          <w:rPr>
            <w:rStyle w:val="a7"/>
            <w:rFonts w:ascii="Liberation Serif" w:hAnsi="Liberation Serif"/>
          </w:rPr>
          <w:t>https://facecast.net/v/m7l2x2</w:t>
        </w:r>
      </w:hyperlink>
    </w:p>
    <w:p w:rsidR="00EF6FFB" w:rsidRDefault="00EF6FFB">
      <w:pPr>
        <w:spacing w:after="72"/>
        <w:jc w:val="center"/>
        <w:rPr>
          <w:rFonts w:ascii="Liberation Serif" w:hAnsi="Liberation Serif" w:cs="Arial"/>
          <w:b/>
          <w:bCs/>
          <w:i/>
          <w:iCs/>
        </w:rPr>
      </w:pPr>
    </w:p>
    <w:p w:rsidR="00EF6FFB" w:rsidRDefault="00EF6FFB">
      <w:pPr>
        <w:spacing w:after="72"/>
        <w:jc w:val="center"/>
        <w:rPr>
          <w:rFonts w:ascii="Liberation Serif" w:hAnsi="Liberation Serif" w:cs="Arial"/>
          <w:b/>
          <w:bCs/>
        </w:rPr>
      </w:pPr>
    </w:p>
    <w:p w:rsidR="00EF6FFB" w:rsidRDefault="00312749">
      <w:pPr>
        <w:spacing w:after="72"/>
        <w:jc w:val="center"/>
      </w:pPr>
      <w:r>
        <w:rPr>
          <w:rStyle w:val="a6"/>
          <w:rFonts w:ascii="Liberation Serif" w:hAnsi="Liberation Serif"/>
          <w:sz w:val="28"/>
          <w:szCs w:val="28"/>
        </w:rPr>
        <w:t xml:space="preserve">«Закупки лекарственных средств в рамках </w:t>
      </w:r>
      <w:r>
        <w:rPr>
          <w:rStyle w:val="a6"/>
          <w:rFonts w:ascii="Liberation Serif" w:hAnsi="Liberation Serif"/>
          <w:sz w:val="28"/>
          <w:szCs w:val="28"/>
        </w:rPr>
        <w:t>Закона № 44-ФЗ»</w:t>
      </w:r>
    </w:p>
    <w:p w:rsidR="00EF6FFB" w:rsidRDefault="00EF6FFB">
      <w:pPr>
        <w:spacing w:after="72"/>
      </w:pPr>
    </w:p>
    <w:p w:rsidR="00EF6FFB" w:rsidRDefault="00312749">
      <w:pPr>
        <w:spacing w:after="72"/>
      </w:pPr>
      <w:r>
        <w:rPr>
          <w:rStyle w:val="a6"/>
          <w:rFonts w:ascii="Liberation Serif" w:hAnsi="Liberation Serif"/>
          <w:sz w:val="22"/>
          <w:szCs w:val="22"/>
        </w:rPr>
        <w:t>13.50-14.00  Регистрация участников семинара-совещания онлайн</w:t>
      </w:r>
    </w:p>
    <w:p w:rsidR="00EF6FFB" w:rsidRDefault="00312749">
      <w:pPr>
        <w:spacing w:after="72"/>
      </w:pPr>
      <w:r>
        <w:rPr>
          <w:rStyle w:val="a6"/>
          <w:rFonts w:ascii="Liberation Serif" w:hAnsi="Liberation Serif"/>
          <w:sz w:val="22"/>
          <w:szCs w:val="22"/>
        </w:rPr>
        <w:t>14.00-14.05  Открытие семинара-совещания. Приветственное слово к участникам.</w:t>
      </w:r>
    </w:p>
    <w:tbl>
      <w:tblPr>
        <w:tblW w:w="10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6774"/>
        <w:gridCol w:w="2054"/>
      </w:tblGrid>
      <w:tr w:rsidR="00EF6FF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8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262626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262626"/>
                <w:sz w:val="22"/>
                <w:szCs w:val="22"/>
              </w:rPr>
              <w:t>Время</w:t>
            </w:r>
          </w:p>
        </w:tc>
        <w:tc>
          <w:tcPr>
            <w:tcW w:w="677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262626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262626"/>
                <w:sz w:val="22"/>
                <w:szCs w:val="22"/>
              </w:rPr>
              <w:t>Тема выступления</w:t>
            </w:r>
          </w:p>
        </w:tc>
        <w:tc>
          <w:tcPr>
            <w:tcW w:w="205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262626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262626"/>
                <w:sz w:val="22"/>
                <w:szCs w:val="22"/>
              </w:rPr>
              <w:t>Проводит занятие (выступает)</w:t>
            </w:r>
          </w:p>
        </w:tc>
      </w:tr>
      <w:tr w:rsidR="00EF6FF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38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14.05-15.30</w:t>
            </w:r>
          </w:p>
        </w:tc>
        <w:tc>
          <w:tcPr>
            <w:tcW w:w="677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shd w:val="clear" w:color="auto" w:fill="FFFFFF"/>
              <w:jc w:val="both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Планирование на 2020 год и плановый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период.</w:t>
            </w:r>
          </w:p>
          <w:p w:rsidR="00EF6FFB" w:rsidRDefault="00312749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Подготовка плана-графика в соответствии постановлением Правительства РФ от 30.09.2019 № 1279:</w:t>
            </w:r>
          </w:p>
          <w:p w:rsidR="00EF6FFB" w:rsidRDefault="0031274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указание объекта закупки: требования к наименованию, укрупнение позиций</w:t>
            </w:r>
          </w:p>
          <w:p w:rsidR="00EF6FFB" w:rsidRDefault="0031274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изменение и корректировка планов-графиков</w:t>
            </w:r>
          </w:p>
          <w:p w:rsidR="00EF6FFB" w:rsidRDefault="0031274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сложности и возможные ошибки при планир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овании закупок</w:t>
            </w:r>
          </w:p>
          <w:p w:rsidR="00EF6FFB" w:rsidRDefault="00312749">
            <w:pPr>
              <w:shd w:val="clear" w:color="auto" w:fill="FFFFFF"/>
              <w:jc w:val="both"/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Правила составления технического задания на закупку лекарственных средств. Применение постановления Правительства РФ от 15.11.2017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№ 1380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: </w:t>
            </w:r>
          </w:p>
          <w:p w:rsidR="00EF6FFB" w:rsidRDefault="0031274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что такое эквивалентные лекарственные формы и дозировки? </w:t>
            </w:r>
          </w:p>
          <w:p w:rsidR="00EF6FFB" w:rsidRDefault="0031274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почему эквивалентность и взаимозаменяемост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ь не являются синонимами? </w:t>
            </w:r>
          </w:p>
          <w:p w:rsidR="00EF6FFB" w:rsidRDefault="0031274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Какие взаимозаменяемые лекарственные формы не являются эквивалентными? </w:t>
            </w:r>
          </w:p>
          <w:p w:rsidR="00EF6FFB" w:rsidRDefault="0031274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правила и примеры подготовки обоснования отступления от запретов, установленных Постановлением №1380.</w:t>
            </w:r>
          </w:p>
          <w:p w:rsidR="00EF6FFB" w:rsidRDefault="00312749">
            <w:pPr>
              <w:shd w:val="clear" w:color="auto" w:fill="FFFFFF"/>
              <w:jc w:val="both"/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ЕСКЛП 2.0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– его влияние на формирование технического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задания.</w:t>
            </w:r>
          </w:p>
          <w:p w:rsidR="00EF6FFB" w:rsidRDefault="00312749">
            <w:pPr>
              <w:shd w:val="clear" w:color="auto" w:fill="FFFFFF"/>
              <w:jc w:val="both"/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КТРУ в 2020 году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с учетом обновленных требований к его применению: рассматриваем примеры.</w:t>
            </w:r>
          </w:p>
          <w:p w:rsidR="00EF6FFB" w:rsidRDefault="00312749">
            <w:pPr>
              <w:shd w:val="clear" w:color="auto" w:fill="FFFFFF"/>
              <w:jc w:val="both"/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Формирование лотов: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ЖНВЛП и не ЖНВЛП в одном лоте, правила постановления Правительства от 17.10.2013 № 929, дробление закупок.</w:t>
            </w:r>
          </w:p>
        </w:tc>
        <w:tc>
          <w:tcPr>
            <w:tcW w:w="205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jc w:val="center"/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ЕВСТАШЕНКОВ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Александр Николаев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ич, 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заместитель руководителя экспертно-консультационного центра Института Госзакупок</w:t>
            </w: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</w:tc>
      </w:tr>
      <w:tr w:rsidR="00EF6FF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38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15.30-15.40</w:t>
            </w:r>
          </w:p>
        </w:tc>
        <w:tc>
          <w:tcPr>
            <w:tcW w:w="8828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rPr>
                <w:rFonts w:ascii="Liberation Serif" w:hAnsi="Liberation Serif"/>
                <w:i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color w:val="000000"/>
                <w:sz w:val="22"/>
                <w:szCs w:val="22"/>
              </w:rPr>
              <w:t>Перерыв</w:t>
            </w:r>
          </w:p>
          <w:p w:rsidR="00EF6FFB" w:rsidRDefault="00EF6FFB">
            <w:pPr>
              <w:rPr>
                <w:rFonts w:ascii="Liberation Serif" w:hAnsi="Liberation Serif"/>
                <w:i/>
                <w:color w:val="000000"/>
                <w:sz w:val="22"/>
                <w:szCs w:val="22"/>
              </w:rPr>
            </w:pPr>
          </w:p>
        </w:tc>
      </w:tr>
      <w:tr w:rsidR="00EF6FF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38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15.40-17.00</w:t>
            </w:r>
          </w:p>
        </w:tc>
        <w:tc>
          <w:tcPr>
            <w:tcW w:w="677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shd w:val="clear" w:color="auto" w:fill="FFFFFF"/>
              <w:jc w:val="both"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Закупка лекарственных средств по торговым наименованиям. 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Связь порядка назначения лекарственных средств с осуществлением </w:t>
            </w:r>
            <w:r>
              <w:rPr>
                <w:rFonts w:ascii="Liberation Serif" w:hAnsi="Liberation Serif"/>
                <w:sz w:val="22"/>
                <w:szCs w:val="22"/>
              </w:rPr>
              <w:t>таких закупок.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</w:p>
          <w:p w:rsidR="00EF6FFB" w:rsidRDefault="00312749">
            <w:pPr>
              <w:shd w:val="clear" w:color="auto" w:fill="FFFFFF"/>
              <w:jc w:val="both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Плюсы и минусы закупок «с неопределенным объемом»</w:t>
            </w:r>
          </w:p>
          <w:p w:rsidR="00EF6FFB" w:rsidRDefault="00312749">
            <w:pPr>
              <w:shd w:val="clear" w:color="auto" w:fill="FFFFFF"/>
              <w:jc w:val="both"/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Запросы котировок и закупки у единственного поставщика до 3</w:t>
            </w:r>
            <w:r>
              <w:rPr>
                <w:rFonts w:ascii="Liberation Serif" w:hAnsi="Liberation Serif"/>
                <w:b/>
                <w:sz w:val="22"/>
                <w:szCs w:val="22"/>
                <w:lang w:val="en-US"/>
              </w:rPr>
              <w:t> 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>000</w:t>
            </w:r>
            <w:r>
              <w:rPr>
                <w:rFonts w:ascii="Liberation Serif" w:hAnsi="Liberation Serif"/>
                <w:b/>
                <w:sz w:val="22"/>
                <w:szCs w:val="22"/>
                <w:lang w:val="en-US"/>
              </w:rPr>
              <w:t> </w:t>
            </w:r>
            <w:r>
              <w:rPr>
                <w:rFonts w:ascii="Liberation Serif" w:hAnsi="Liberation Serif"/>
                <w:b/>
                <w:sz w:val="22"/>
                <w:szCs w:val="22"/>
              </w:rPr>
              <w:t xml:space="preserve">000 рублей в электронной форме с 01.07.2020: </w:t>
            </w:r>
          </w:p>
          <w:p w:rsidR="00EF6FFB" w:rsidRDefault="0031274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новый порядок проведения запроса котировок в электронной форме;</w:t>
            </w:r>
          </w:p>
          <w:p w:rsidR="00EF6FFB" w:rsidRDefault="00312749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закупки у единст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венного поставщика по п.4 и п.5 ч.1 ст. 93 в электронной форме: порядок, возможные проблемы, что будет с ЕАТ «Березка» и региональными «электронными магазинами»?</w:t>
            </w:r>
          </w:p>
        </w:tc>
        <w:tc>
          <w:tcPr>
            <w:tcW w:w="205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ЕВСТАШЕНКОВ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Александр Николаевич,</w:t>
            </w:r>
          </w:p>
          <w:p w:rsidR="00EF6FFB" w:rsidRDefault="00312749">
            <w:pPr>
              <w:jc w:val="center"/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заместитель руководителя экспертно-консультационного центр</w:t>
            </w: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а Института Госзакупок</w:t>
            </w: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  <w:p w:rsidR="00EF6FFB" w:rsidRDefault="00EF6FFB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</w:tc>
      </w:tr>
      <w:tr w:rsidR="00EF6FF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38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17.00- 17.10</w:t>
            </w:r>
          </w:p>
        </w:tc>
        <w:tc>
          <w:tcPr>
            <w:tcW w:w="8828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rPr>
                <w:rFonts w:ascii="Liberation Serif" w:hAnsi="Liberation Serif"/>
                <w:i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color w:val="000000"/>
                <w:sz w:val="22"/>
                <w:szCs w:val="22"/>
              </w:rPr>
              <w:t>Перерыв</w:t>
            </w:r>
          </w:p>
        </w:tc>
      </w:tr>
      <w:tr w:rsidR="00EF6FF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38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lastRenderedPageBreak/>
              <w:t>17.10-18.00</w:t>
            </w:r>
          </w:p>
        </w:tc>
        <w:tc>
          <w:tcPr>
            <w:tcW w:w="677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ind w:right="100"/>
              <w:jc w:val="both"/>
              <w:rPr>
                <w:rFonts w:ascii="Liberation Serif" w:hAnsi="Liberation Serif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shd w:val="clear" w:color="auto" w:fill="FFFFFF"/>
              </w:rPr>
              <w:t xml:space="preserve">Обоснование НМЦК, цены контракта с единственным поставщиком (подрядчиком, исполнителем) в соответствии с новым порядком, утв. приказом Минздрава России от 19.12.2019 № 1064н. </w:t>
            </w:r>
          </w:p>
          <w:p w:rsidR="00EF6FFB" w:rsidRDefault="00312749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="Liberation Serif" w:hAnsi="Liberation Serif"/>
                <w:sz w:val="22"/>
                <w:szCs w:val="22"/>
                <w:shd w:val="clear" w:color="auto" w:fill="FFFFFF"/>
              </w:rPr>
              <w:t xml:space="preserve">Чем новый порядок </w:t>
            </w:r>
            <w:r>
              <w:rPr>
                <w:rFonts w:ascii="Liberation Serif" w:hAnsi="Liberation Serif"/>
                <w:sz w:val="22"/>
                <w:szCs w:val="22"/>
                <w:shd w:val="clear" w:color="auto" w:fill="FFFFFF"/>
              </w:rPr>
              <w:t>принципиально отличается старого?</w:t>
            </w:r>
          </w:p>
          <w:p w:rsidR="00EF6FFB" w:rsidRDefault="00312749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="Liberation Serif" w:hAnsi="Liberation Serif"/>
                <w:sz w:val="22"/>
                <w:szCs w:val="22"/>
                <w:shd w:val="clear" w:color="auto" w:fill="FFFFFF"/>
              </w:rPr>
              <w:t>Обоснование цены при несостоявшихся закупках.</w:t>
            </w:r>
          </w:p>
          <w:p w:rsidR="00EF6FFB" w:rsidRDefault="00312749">
            <w:pPr>
              <w:shd w:val="clear" w:color="auto" w:fill="FFFFFF"/>
              <w:jc w:val="both"/>
            </w:pPr>
            <w:r>
              <w:rPr>
                <w:rFonts w:ascii="Liberation Serif" w:hAnsi="Liberation Serif"/>
                <w:b/>
                <w:sz w:val="22"/>
                <w:szCs w:val="22"/>
                <w:shd w:val="clear" w:color="auto" w:fill="FFFFFF"/>
              </w:rPr>
              <w:t>Импортозамещение при осуществлении закупок лекарственных средств</w:t>
            </w:r>
            <w:r>
              <w:rPr>
                <w:rFonts w:ascii="Liberation Serif" w:hAnsi="Liberation Serif"/>
                <w:sz w:val="22"/>
                <w:szCs w:val="22"/>
                <w:shd w:val="clear" w:color="auto" w:fill="FFFFFF"/>
              </w:rPr>
              <w:t>: постановление Правительства РФ от 30.11.2015 № 1289 и Приказ Минфина России от 04.06.2018 № 126н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  <w:p w:rsidR="00EF6FFB" w:rsidRDefault="00EF6FFB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F6FFB" w:rsidRDefault="00EF6FFB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EF6FFB" w:rsidRDefault="00EF6FFB">
            <w:pPr>
              <w:shd w:val="clear" w:color="auto" w:fill="FFFFFF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ЕВСТАШЕНКОВ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 xml:space="preserve">Александр Николаевич, </w:t>
            </w:r>
          </w:p>
          <w:p w:rsidR="00EF6FFB" w:rsidRDefault="00312749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заместитель руководителя экспертно-консультационного центра Института Госзакупок</w:t>
            </w:r>
          </w:p>
          <w:p w:rsidR="00EF6FFB" w:rsidRDefault="00EF6FFB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</w:tc>
      </w:tr>
      <w:tr w:rsidR="00EF6FF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380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18.00-18.30</w:t>
            </w:r>
          </w:p>
        </w:tc>
        <w:tc>
          <w:tcPr>
            <w:tcW w:w="8828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FB" w:rsidRDefault="00312749">
            <w:pPr>
              <w:rPr>
                <w:rFonts w:ascii="Liberation Serif" w:hAnsi="Liberation Serif"/>
                <w:i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color w:val="000000"/>
                <w:sz w:val="22"/>
                <w:szCs w:val="22"/>
              </w:rPr>
              <w:t>Ответы на индивидуальные вопросы участников</w:t>
            </w:r>
          </w:p>
          <w:p w:rsidR="00EF6FFB" w:rsidRDefault="00EF6FFB">
            <w:pPr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</w:p>
        </w:tc>
      </w:tr>
    </w:tbl>
    <w:p w:rsidR="00EF6FFB" w:rsidRDefault="00EF6FFB">
      <w:pPr>
        <w:spacing w:after="72"/>
        <w:jc w:val="right"/>
        <w:rPr>
          <w:rFonts w:ascii="Liberation Serif" w:hAnsi="Liberation Serif"/>
          <w:sz w:val="22"/>
          <w:szCs w:val="22"/>
        </w:rPr>
      </w:pPr>
    </w:p>
    <w:p w:rsidR="00EF6FFB" w:rsidRDefault="00EF6FFB">
      <w:pPr>
        <w:rPr>
          <w:rFonts w:ascii="Liberation Serif" w:hAnsi="Liberation Serif"/>
          <w:sz w:val="22"/>
          <w:szCs w:val="22"/>
        </w:rPr>
      </w:pPr>
    </w:p>
    <w:p w:rsidR="00EF6FFB" w:rsidRDefault="00EF6FFB">
      <w:pPr>
        <w:rPr>
          <w:rFonts w:ascii="Liberation Serif" w:hAnsi="Liberation Serif"/>
          <w:sz w:val="22"/>
          <w:szCs w:val="22"/>
        </w:rPr>
      </w:pPr>
    </w:p>
    <w:p w:rsidR="00EF6FFB" w:rsidRDefault="00EF6FFB">
      <w:pPr>
        <w:rPr>
          <w:rFonts w:ascii="Liberation Serif" w:hAnsi="Liberation Serif"/>
          <w:vanish/>
          <w:sz w:val="22"/>
          <w:szCs w:val="22"/>
        </w:rPr>
      </w:pPr>
    </w:p>
    <w:p w:rsidR="00EF6FFB" w:rsidRDefault="00EF6FFB">
      <w:pPr>
        <w:spacing w:after="72"/>
        <w:jc w:val="both"/>
        <w:rPr>
          <w:rFonts w:ascii="Liberation Serif" w:hAnsi="Liberation Serif"/>
          <w:sz w:val="22"/>
          <w:szCs w:val="22"/>
        </w:rPr>
      </w:pPr>
    </w:p>
    <w:sectPr w:rsidR="00EF6FFB">
      <w:pgSz w:w="11906" w:h="16838"/>
      <w:pgMar w:top="284" w:right="85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49" w:rsidRDefault="00312749">
      <w:r>
        <w:separator/>
      </w:r>
    </w:p>
  </w:endnote>
  <w:endnote w:type="continuationSeparator" w:id="0">
    <w:p w:rsidR="00312749" w:rsidRDefault="0031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49" w:rsidRDefault="00312749">
      <w:r>
        <w:rPr>
          <w:color w:val="000000"/>
        </w:rPr>
        <w:separator/>
      </w:r>
    </w:p>
  </w:footnote>
  <w:footnote w:type="continuationSeparator" w:id="0">
    <w:p w:rsidR="00312749" w:rsidRDefault="0031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33C"/>
    <w:multiLevelType w:val="multilevel"/>
    <w:tmpl w:val="4B707C8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2D45736"/>
    <w:multiLevelType w:val="multilevel"/>
    <w:tmpl w:val="04E4F46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F6FFB"/>
    <w:rsid w:val="00312749"/>
    <w:rsid w:val="00E77CB4"/>
    <w:rsid w:val="00E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C382-6AD1-4BA9-B436-DFC847B1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pPr>
      <w:spacing w:before="100" w:after="100"/>
      <w:outlineLvl w:val="4"/>
    </w:pPr>
    <w:rPr>
      <w:b/>
      <w:bCs/>
      <w:sz w:val="20"/>
      <w:szCs w:val="20"/>
    </w:rPr>
  </w:style>
  <w:style w:type="paragraph" w:styleId="6">
    <w:name w:val="heading 6"/>
    <w:basedOn w:val="a"/>
    <w:pPr>
      <w:spacing w:before="100" w:after="100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rPr>
      <w:sz w:val="20"/>
      <w:szCs w:val="20"/>
    </w:rPr>
  </w:style>
  <w:style w:type="character" w:customStyle="1" w:styleId="a4">
    <w:name w:val="Текст сноски Знак"/>
    <w:basedOn w:val="a0"/>
  </w:style>
  <w:style w:type="character" w:styleId="a5">
    <w:name w:val="footnote reference"/>
    <w:rPr>
      <w:rFonts w:cs="Times New Roman"/>
      <w:position w:val="0"/>
      <w:vertAlign w:val="superscript"/>
    </w:rPr>
  </w:style>
  <w:style w:type="paragraph" w:customStyle="1" w:styleId="western">
    <w:name w:val="western"/>
    <w:basedOn w:val="a"/>
    <w:pPr>
      <w:spacing w:before="100" w:after="100"/>
    </w:pPr>
    <w:rPr>
      <w:rFonts w:eastAsia="Calibri"/>
    </w:rPr>
  </w:style>
  <w:style w:type="character" w:styleId="a6">
    <w:name w:val="Strong"/>
    <w:rPr>
      <w:b/>
      <w:bCs/>
    </w:rPr>
  </w:style>
  <w:style w:type="character" w:styleId="a7">
    <w:name w:val="Hyperlink"/>
    <w:rPr>
      <w:color w:val="0000FF"/>
      <w:u w:val="single"/>
    </w:rPr>
  </w:style>
  <w:style w:type="paragraph" w:customStyle="1" w:styleId="Standard">
    <w:name w:val="Standard"/>
    <w:pPr>
      <w:suppressAutoHyphens/>
    </w:pPr>
    <w:rPr>
      <w:rFonts w:ascii="Garamond" w:hAnsi="Garamond" w:cs="Garamond"/>
      <w:color w:val="000000"/>
      <w:kern w:val="3"/>
      <w:sz w:val="24"/>
      <w:szCs w:val="24"/>
      <w:lang w:eastAsia="ar-SA"/>
    </w:rPr>
  </w:style>
  <w:style w:type="paragraph" w:styleId="a8">
    <w:name w:val="Normal (Web)"/>
    <w:basedOn w:val="a"/>
    <w:pPr>
      <w:spacing w:before="100" w:after="100"/>
    </w:pPr>
  </w:style>
  <w:style w:type="paragraph" w:customStyle="1" w:styleId="ConsPlusNormal">
    <w:name w:val="ConsPlusNormal"/>
    <w:pPr>
      <w:suppressAutoHyphens/>
      <w:autoSpaceDE w:val="0"/>
    </w:pPr>
    <w:rPr>
      <w:rFonts w:ascii="Arial Narrow" w:hAnsi="Arial Narrow" w:cs="Arial Narrow"/>
      <w:b/>
      <w:bCs/>
      <w:sz w:val="22"/>
      <w:szCs w:val="22"/>
    </w:rPr>
  </w:style>
  <w:style w:type="paragraph" w:styleId="a9">
    <w:name w:val="Balloon Text"/>
    <w:basedOn w:val="a"/>
    <w:rPr>
      <w:rFonts w:ascii="Tahoma" w:hAnsi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</w:style>
  <w:style w:type="paragraph" w:styleId="ad">
    <w:name w:val="annotation subject"/>
    <w:basedOn w:val="ab"/>
    <w:next w:val="ab"/>
    <w:rPr>
      <w:rFonts w:ascii="Cambria" w:eastAsia="MS Mincho" w:hAnsi="Cambria"/>
      <w:b/>
      <w:bCs/>
    </w:rPr>
  </w:style>
  <w:style w:type="character" w:customStyle="1" w:styleId="ae">
    <w:name w:val="Тема примечания Знак"/>
    <w:rPr>
      <w:rFonts w:ascii="Cambria" w:eastAsia="MS Mincho" w:hAnsi="Cambria"/>
      <w:b/>
      <w:bCs/>
    </w:rPr>
  </w:style>
  <w:style w:type="character" w:styleId="af">
    <w:name w:val="annotation reference"/>
    <w:rPr>
      <w:sz w:val="18"/>
      <w:szCs w:val="18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rPr>
      <w:sz w:val="24"/>
      <w:szCs w:val="24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cast.net/v/m7l2x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госзакупок РГТЭУ предлагает курс корпоративного обучения по программе "Организация закупок товаров, работ, услуг отдельными видами юридических лиц  в соответствии с Законом № 223-ФЗ"</vt:lpstr>
    </vt:vector>
  </TitlesOfParts>
  <Company>CtrlSoft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госзакупок РГТЭУ предлагает курс корпоративного обучения по программе "Организация закупок товаров, работ, услуг отдельными видами юридических лиц  в соответствии с Законом № 223-ФЗ"</dc:title>
  <dc:creator>NTSO</dc:creator>
  <cp:lastModifiedBy>Тонков Дмитрий Сергеевич</cp:lastModifiedBy>
  <cp:revision>2</cp:revision>
  <cp:lastPrinted>2017-12-04T07:58:00Z</cp:lastPrinted>
  <dcterms:created xsi:type="dcterms:W3CDTF">2020-10-12T06:50:00Z</dcterms:created>
  <dcterms:modified xsi:type="dcterms:W3CDTF">2020-10-12T06:50:00Z</dcterms:modified>
</cp:coreProperties>
</file>