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2B5" w:rsidRPr="00AA4C37" w:rsidRDefault="00FD2859" w:rsidP="00A1421B">
      <w:pPr>
        <w:spacing w:line="240" w:lineRule="auto"/>
        <w:ind w:firstLine="0"/>
        <w:contextualSpacing/>
        <w:jc w:val="center"/>
        <w:rPr>
          <w:rFonts w:eastAsia="Calibri"/>
          <w:lang w:eastAsia="en-US"/>
        </w:rPr>
      </w:pPr>
      <w:r>
        <w:rPr>
          <w:rFonts w:eastAsia="Calibri"/>
          <w:lang w:eastAsia="en-US"/>
        </w:rPr>
        <w:t xml:space="preserve"> </w:t>
      </w:r>
      <w:r w:rsidR="00A1421B">
        <w:rPr>
          <w:rFonts w:eastAsia="Calibri"/>
          <w:lang w:eastAsia="en-US"/>
        </w:rPr>
        <w:t xml:space="preserve">                                  </w:t>
      </w:r>
      <w:r w:rsidR="00852779">
        <w:rPr>
          <w:rFonts w:eastAsia="Calibri"/>
          <w:lang w:eastAsia="en-US"/>
        </w:rPr>
        <w:t xml:space="preserve"> </w:t>
      </w:r>
      <w:r w:rsidR="004202B5" w:rsidRPr="00AA4C37">
        <w:rPr>
          <w:rFonts w:eastAsia="Calibri"/>
          <w:lang w:eastAsia="en-US"/>
        </w:rPr>
        <w:t>УТВЕРЖДЕН</w:t>
      </w:r>
    </w:p>
    <w:p w:rsidR="004202B5" w:rsidRPr="00AA4C37" w:rsidRDefault="004202B5" w:rsidP="006D331A">
      <w:pPr>
        <w:widowControl w:val="0"/>
        <w:autoSpaceDE w:val="0"/>
        <w:autoSpaceDN w:val="0"/>
        <w:adjustRightInd w:val="0"/>
        <w:spacing w:line="240" w:lineRule="auto"/>
        <w:ind w:left="5387" w:firstLine="0"/>
        <w:jc w:val="left"/>
        <w:rPr>
          <w:rFonts w:eastAsia="Calibri"/>
          <w:lang w:eastAsia="en-US"/>
        </w:rPr>
      </w:pPr>
      <w:r w:rsidRPr="00AA4C37">
        <w:rPr>
          <w:rFonts w:eastAsia="Calibri"/>
          <w:lang w:eastAsia="en-US"/>
        </w:rPr>
        <w:t xml:space="preserve">приказом Департамента государственных </w:t>
      </w:r>
      <w:proofErr w:type="gramStart"/>
      <w:r w:rsidRPr="00AA4C37">
        <w:rPr>
          <w:rFonts w:eastAsia="Calibri"/>
          <w:lang w:eastAsia="en-US"/>
        </w:rPr>
        <w:t xml:space="preserve">закупок </w:t>
      </w:r>
      <w:r w:rsidR="006D331A" w:rsidRPr="00AA4C37">
        <w:rPr>
          <w:rFonts w:eastAsia="Calibri"/>
          <w:lang w:eastAsia="en-US"/>
        </w:rPr>
        <w:t xml:space="preserve"> </w:t>
      </w:r>
      <w:r w:rsidRPr="00AA4C37">
        <w:rPr>
          <w:rFonts w:eastAsia="Calibri"/>
          <w:lang w:eastAsia="en-US"/>
        </w:rPr>
        <w:t>Свердловской</w:t>
      </w:r>
      <w:proofErr w:type="gramEnd"/>
      <w:r w:rsidRPr="00AA4C37">
        <w:rPr>
          <w:rFonts w:eastAsia="Calibri"/>
          <w:lang w:eastAsia="en-US"/>
        </w:rPr>
        <w:t xml:space="preserve"> области</w:t>
      </w:r>
    </w:p>
    <w:p w:rsidR="004202B5" w:rsidRPr="00AA4C37" w:rsidRDefault="004202B5" w:rsidP="004202B5">
      <w:pPr>
        <w:widowControl w:val="0"/>
        <w:autoSpaceDE w:val="0"/>
        <w:autoSpaceDN w:val="0"/>
        <w:adjustRightInd w:val="0"/>
        <w:spacing w:line="240" w:lineRule="auto"/>
        <w:ind w:firstLine="5387"/>
        <w:jc w:val="left"/>
        <w:rPr>
          <w:rFonts w:eastAsia="Calibri"/>
          <w:lang w:eastAsia="en-US"/>
        </w:rPr>
      </w:pPr>
      <w:r w:rsidRPr="00AA4C37">
        <w:rPr>
          <w:rFonts w:eastAsia="Calibri"/>
          <w:lang w:eastAsia="en-US"/>
        </w:rPr>
        <w:t xml:space="preserve">от </w:t>
      </w:r>
      <w:r w:rsidR="002E329E">
        <w:rPr>
          <w:rFonts w:eastAsia="Calibri"/>
          <w:lang w:eastAsia="en-US"/>
        </w:rPr>
        <w:t>07.08.2018</w:t>
      </w:r>
      <w:r w:rsidRPr="00AA4C37">
        <w:rPr>
          <w:rFonts w:eastAsia="Calibri"/>
          <w:lang w:eastAsia="en-US"/>
        </w:rPr>
        <w:t xml:space="preserve"> № </w:t>
      </w:r>
      <w:r w:rsidR="002E329E">
        <w:rPr>
          <w:rFonts w:eastAsia="Calibri"/>
          <w:lang w:eastAsia="en-US"/>
        </w:rPr>
        <w:t>127-ОД</w:t>
      </w:r>
    </w:p>
    <w:p w:rsidR="004202B5" w:rsidRPr="00AA4C37" w:rsidRDefault="004202B5" w:rsidP="00D75BC4">
      <w:pPr>
        <w:widowControl w:val="0"/>
        <w:autoSpaceDE w:val="0"/>
        <w:autoSpaceDN w:val="0"/>
        <w:adjustRightInd w:val="0"/>
        <w:spacing w:line="240" w:lineRule="auto"/>
        <w:ind w:left="5387" w:firstLine="0"/>
        <w:jc w:val="left"/>
        <w:rPr>
          <w:rFonts w:eastAsia="Calibri"/>
          <w:lang w:eastAsia="en-US"/>
        </w:rPr>
      </w:pPr>
      <w:r w:rsidRPr="00AA4C37">
        <w:rPr>
          <w:rFonts w:eastAsia="Calibri"/>
          <w:lang w:eastAsia="en-US"/>
        </w:rPr>
        <w:t>«</w:t>
      </w:r>
      <w:r w:rsidR="001E61D9" w:rsidRPr="00AA4C37">
        <w:rPr>
          <w:rFonts w:eastAsia="Calibri"/>
          <w:lang w:eastAsia="en-US"/>
        </w:rPr>
        <w:t xml:space="preserve">Об утверждении типового условия </w:t>
      </w:r>
      <w:r w:rsidR="00D75BC4" w:rsidRPr="00AA4C37">
        <w:rPr>
          <w:rFonts w:eastAsia="Calibri"/>
          <w:lang w:eastAsia="en-US"/>
        </w:rPr>
        <w:t xml:space="preserve">по предоставлению Подрядчиком документов, подтверждающих </w:t>
      </w:r>
      <w:r w:rsidR="00F15595">
        <w:rPr>
          <w:rFonts w:eastAsia="Calibri"/>
          <w:lang w:eastAsia="en-US"/>
        </w:rPr>
        <w:t xml:space="preserve">приобретение </w:t>
      </w:r>
      <w:bookmarkStart w:id="0" w:name="_GoBack"/>
      <w:bookmarkEnd w:id="0"/>
      <w:r w:rsidR="00F15595" w:rsidRPr="00DE5748">
        <w:t>общераспространенны</w:t>
      </w:r>
      <w:r w:rsidR="00F15595">
        <w:t>х</w:t>
      </w:r>
      <w:r w:rsidR="00F15595" w:rsidRPr="00DE5748">
        <w:t xml:space="preserve"> полезны</w:t>
      </w:r>
      <w:r w:rsidR="0008027B">
        <w:t>х</w:t>
      </w:r>
      <w:r w:rsidR="00F15595" w:rsidRPr="00DE5748">
        <w:t xml:space="preserve"> ископаемы</w:t>
      </w:r>
      <w:r w:rsidR="0008027B">
        <w:t>х</w:t>
      </w:r>
      <w:r w:rsidR="004D087C" w:rsidRPr="00AA4C37">
        <w:rPr>
          <w:rFonts w:eastAsia="Calibri"/>
          <w:lang w:eastAsia="en-US"/>
        </w:rPr>
        <w:t>»</w:t>
      </w:r>
    </w:p>
    <w:p w:rsidR="004202B5" w:rsidRPr="00AA4C37" w:rsidRDefault="004202B5" w:rsidP="004202B5">
      <w:pPr>
        <w:widowControl w:val="0"/>
        <w:autoSpaceDE w:val="0"/>
        <w:autoSpaceDN w:val="0"/>
        <w:adjustRightInd w:val="0"/>
        <w:spacing w:line="240" w:lineRule="auto"/>
        <w:ind w:left="5387" w:firstLine="0"/>
        <w:jc w:val="left"/>
        <w:rPr>
          <w:rFonts w:eastAsia="Calibri"/>
          <w:b/>
          <w:lang w:eastAsia="en-US"/>
        </w:rPr>
      </w:pPr>
    </w:p>
    <w:p w:rsidR="004202B5" w:rsidRPr="00AA4C37" w:rsidRDefault="004202B5" w:rsidP="004202B5">
      <w:pPr>
        <w:widowControl w:val="0"/>
        <w:autoSpaceDE w:val="0"/>
        <w:autoSpaceDN w:val="0"/>
        <w:adjustRightInd w:val="0"/>
        <w:spacing w:line="240" w:lineRule="auto"/>
        <w:ind w:left="5387" w:firstLine="0"/>
        <w:jc w:val="left"/>
        <w:rPr>
          <w:rFonts w:eastAsia="Calibri"/>
          <w:b/>
          <w:lang w:eastAsia="en-US"/>
        </w:rPr>
      </w:pPr>
    </w:p>
    <w:p w:rsidR="001E61D9" w:rsidRPr="00AA4C37" w:rsidRDefault="001E61D9" w:rsidP="00DE5748">
      <w:pPr>
        <w:spacing w:line="240" w:lineRule="auto"/>
        <w:ind w:firstLine="0"/>
        <w:jc w:val="center"/>
        <w:rPr>
          <w:b/>
        </w:rPr>
      </w:pPr>
      <w:r w:rsidRPr="00AA4C37">
        <w:rPr>
          <w:b/>
        </w:rPr>
        <w:t xml:space="preserve">Типовое условие </w:t>
      </w:r>
      <w:r w:rsidR="00D75BC4" w:rsidRPr="00AA4C37">
        <w:rPr>
          <w:b/>
        </w:rPr>
        <w:t xml:space="preserve">по предоставлению Подрядчиком документов, подтверждающих </w:t>
      </w:r>
      <w:r w:rsidR="00D75BC4" w:rsidRPr="00DE5748">
        <w:rPr>
          <w:b/>
        </w:rPr>
        <w:t xml:space="preserve">приобретение </w:t>
      </w:r>
      <w:r w:rsidR="00DE5748" w:rsidRPr="00DE5748">
        <w:rPr>
          <w:b/>
        </w:rPr>
        <w:t>общераспространенных полезных ископаемых</w:t>
      </w:r>
    </w:p>
    <w:p w:rsidR="001E61D9" w:rsidRPr="00AA4C37" w:rsidRDefault="001E61D9" w:rsidP="001E61D9">
      <w:pPr>
        <w:spacing w:line="240" w:lineRule="auto"/>
        <w:ind w:firstLine="0"/>
        <w:jc w:val="center"/>
        <w:rPr>
          <w:kern w:val="16"/>
        </w:rPr>
      </w:pPr>
    </w:p>
    <w:p w:rsidR="00F411ED" w:rsidRPr="00AA4C37" w:rsidRDefault="00A1421B" w:rsidP="00A1421B">
      <w:pPr>
        <w:pStyle w:val="a8"/>
        <w:spacing w:line="360" w:lineRule="auto"/>
        <w:ind w:left="0" w:firstLine="0"/>
        <w:jc w:val="center"/>
        <w:rPr>
          <w:b/>
        </w:rPr>
      </w:pPr>
      <w:r w:rsidRPr="00AA4C37">
        <w:rPr>
          <w:b/>
        </w:rPr>
        <w:t xml:space="preserve">1. </w:t>
      </w:r>
      <w:r w:rsidR="00C272A9" w:rsidRPr="00AA4C37">
        <w:rPr>
          <w:b/>
        </w:rPr>
        <w:t>О</w:t>
      </w:r>
      <w:r w:rsidR="003B7BF3" w:rsidRPr="00AA4C37">
        <w:rPr>
          <w:b/>
        </w:rPr>
        <w:t>БЯЗАННОСТЬ ПОДРЯДЧИКА</w:t>
      </w:r>
    </w:p>
    <w:p w:rsidR="00A1421B" w:rsidRPr="00AA4C37" w:rsidRDefault="00F17685" w:rsidP="003B7BF3">
      <w:pPr>
        <w:spacing w:line="240" w:lineRule="auto"/>
        <w:ind w:firstLine="709"/>
        <w:rPr>
          <w:rFonts w:eastAsia="Calibri"/>
          <w:lang w:eastAsia="en-US"/>
        </w:rPr>
      </w:pPr>
      <w:r w:rsidRPr="00AA4C37">
        <w:t>1</w:t>
      </w:r>
      <w:r w:rsidR="00C50FE8" w:rsidRPr="00AA4C37">
        <w:t>.</w:t>
      </w:r>
      <w:r w:rsidR="003B7BF3" w:rsidRPr="00AA4C37">
        <w:rPr>
          <w:rFonts w:eastAsia="Calibri"/>
          <w:lang w:eastAsia="en-US"/>
        </w:rPr>
        <w:t xml:space="preserve"> </w:t>
      </w:r>
      <w:r w:rsidR="00A1421B" w:rsidRPr="00AA4C37">
        <w:rPr>
          <w:rFonts w:eastAsia="Calibri"/>
          <w:lang w:eastAsia="en-US"/>
        </w:rPr>
        <w:t>Подрядчик обязан:</w:t>
      </w:r>
    </w:p>
    <w:p w:rsidR="00DE5748" w:rsidRPr="00DE5748" w:rsidRDefault="00A1421B" w:rsidP="00DE5748">
      <w:pPr>
        <w:spacing w:line="240" w:lineRule="auto"/>
        <w:ind w:firstLine="709"/>
      </w:pPr>
      <w:r w:rsidRPr="00DE5748">
        <w:t xml:space="preserve">1.1. </w:t>
      </w:r>
      <w:r w:rsidR="00DE5748" w:rsidRPr="00DE5748">
        <w:t>В случае использования общераспространенных полезных ископаемых</w:t>
      </w:r>
      <w:r w:rsidR="00DE5748">
        <w:rPr>
          <w:rStyle w:val="a4"/>
        </w:rPr>
        <w:footnoteReference w:id="1"/>
      </w:r>
      <w:r w:rsidR="00DE5748" w:rsidRPr="00DE5748">
        <w:t xml:space="preserve"> Подрядчик обязуется до начала выполнения работ предоставить Заказчику копию договора поставки таких материалов с </w:t>
      </w:r>
      <w:proofErr w:type="spellStart"/>
      <w:r w:rsidR="00DE5748" w:rsidRPr="00DE5748">
        <w:t>недропользователем</w:t>
      </w:r>
      <w:proofErr w:type="spellEnd"/>
      <w:r w:rsidR="00DE5748" w:rsidRPr="00DE5748">
        <w:t xml:space="preserve"> или документы, свидетельствующие о приобретении таких материалов поставщиком (поставщиками) у </w:t>
      </w:r>
      <w:proofErr w:type="spellStart"/>
      <w:r w:rsidR="00DE5748" w:rsidRPr="00DE5748">
        <w:t>недропользователя</w:t>
      </w:r>
      <w:proofErr w:type="spellEnd"/>
      <w:r w:rsidR="00DE5748" w:rsidRPr="00DE5748">
        <w:t>, либо копию лицензии на геологическое изучение, разведку и добычу или разведку и добычу соответствующих общераспространенных полезных ископаемых, полученную на Подрядчика.</w:t>
      </w:r>
    </w:p>
    <w:p w:rsidR="00DE5748" w:rsidRPr="00DE5748" w:rsidRDefault="00DE5748" w:rsidP="00DE5748"/>
    <w:p w:rsidR="00A1421B" w:rsidRPr="00A1421B" w:rsidRDefault="00A1421B" w:rsidP="00A1421B">
      <w:pPr>
        <w:spacing w:line="240" w:lineRule="auto"/>
        <w:ind w:firstLine="0"/>
        <w:rPr>
          <w:b/>
          <w:sz w:val="24"/>
          <w:szCs w:val="24"/>
        </w:rPr>
      </w:pPr>
    </w:p>
    <w:p w:rsidR="003B7BF3" w:rsidRPr="003B7BF3" w:rsidRDefault="003B7BF3" w:rsidP="003B7BF3">
      <w:pPr>
        <w:spacing w:line="240" w:lineRule="auto"/>
        <w:ind w:firstLine="709"/>
        <w:rPr>
          <w:sz w:val="24"/>
          <w:szCs w:val="24"/>
        </w:rPr>
      </w:pPr>
    </w:p>
    <w:p w:rsidR="006D331A" w:rsidRDefault="006D331A" w:rsidP="004E7600">
      <w:pPr>
        <w:widowControl w:val="0"/>
        <w:autoSpaceDE w:val="0"/>
        <w:autoSpaceDN w:val="0"/>
        <w:spacing w:line="240" w:lineRule="auto"/>
        <w:ind w:firstLine="0"/>
        <w:jc w:val="right"/>
        <w:rPr>
          <w:sz w:val="24"/>
          <w:szCs w:val="20"/>
        </w:rPr>
      </w:pPr>
    </w:p>
    <w:p w:rsidR="003B7BF3" w:rsidRDefault="003B7BF3" w:rsidP="004E7600">
      <w:pPr>
        <w:widowControl w:val="0"/>
        <w:autoSpaceDE w:val="0"/>
        <w:autoSpaceDN w:val="0"/>
        <w:spacing w:line="240" w:lineRule="auto"/>
        <w:ind w:firstLine="0"/>
        <w:jc w:val="right"/>
        <w:rPr>
          <w:sz w:val="24"/>
          <w:szCs w:val="20"/>
        </w:rPr>
      </w:pPr>
    </w:p>
    <w:p w:rsidR="003B7BF3" w:rsidRDefault="003B7BF3" w:rsidP="004E7600">
      <w:pPr>
        <w:widowControl w:val="0"/>
        <w:autoSpaceDE w:val="0"/>
        <w:autoSpaceDN w:val="0"/>
        <w:spacing w:line="240" w:lineRule="auto"/>
        <w:ind w:firstLine="0"/>
        <w:jc w:val="right"/>
        <w:rPr>
          <w:sz w:val="24"/>
          <w:szCs w:val="20"/>
        </w:rPr>
      </w:pPr>
    </w:p>
    <w:p w:rsidR="003B7BF3" w:rsidRDefault="003B7BF3" w:rsidP="004E7600">
      <w:pPr>
        <w:widowControl w:val="0"/>
        <w:autoSpaceDE w:val="0"/>
        <w:autoSpaceDN w:val="0"/>
        <w:spacing w:line="240" w:lineRule="auto"/>
        <w:ind w:firstLine="0"/>
        <w:jc w:val="right"/>
        <w:rPr>
          <w:sz w:val="24"/>
          <w:szCs w:val="20"/>
        </w:rPr>
      </w:pPr>
    </w:p>
    <w:p w:rsidR="003B7BF3" w:rsidRDefault="003B7BF3" w:rsidP="004E7600">
      <w:pPr>
        <w:widowControl w:val="0"/>
        <w:autoSpaceDE w:val="0"/>
        <w:autoSpaceDN w:val="0"/>
        <w:spacing w:line="240" w:lineRule="auto"/>
        <w:ind w:firstLine="0"/>
        <w:jc w:val="right"/>
        <w:rPr>
          <w:sz w:val="24"/>
          <w:szCs w:val="20"/>
        </w:rPr>
      </w:pPr>
    </w:p>
    <w:p w:rsidR="003B7BF3" w:rsidRDefault="003B7BF3" w:rsidP="004E7600">
      <w:pPr>
        <w:widowControl w:val="0"/>
        <w:autoSpaceDE w:val="0"/>
        <w:autoSpaceDN w:val="0"/>
        <w:spacing w:line="240" w:lineRule="auto"/>
        <w:ind w:firstLine="0"/>
        <w:jc w:val="right"/>
        <w:rPr>
          <w:sz w:val="24"/>
          <w:szCs w:val="20"/>
        </w:rPr>
      </w:pPr>
    </w:p>
    <w:p w:rsidR="003B7BF3" w:rsidRDefault="003B7BF3" w:rsidP="004E7600">
      <w:pPr>
        <w:widowControl w:val="0"/>
        <w:autoSpaceDE w:val="0"/>
        <w:autoSpaceDN w:val="0"/>
        <w:spacing w:line="240" w:lineRule="auto"/>
        <w:ind w:firstLine="0"/>
        <w:jc w:val="right"/>
        <w:rPr>
          <w:sz w:val="24"/>
          <w:szCs w:val="20"/>
        </w:rPr>
      </w:pPr>
    </w:p>
    <w:p w:rsidR="003B7BF3" w:rsidRDefault="003B7BF3" w:rsidP="004E7600">
      <w:pPr>
        <w:widowControl w:val="0"/>
        <w:autoSpaceDE w:val="0"/>
        <w:autoSpaceDN w:val="0"/>
        <w:spacing w:line="240" w:lineRule="auto"/>
        <w:ind w:firstLine="0"/>
        <w:jc w:val="right"/>
        <w:rPr>
          <w:sz w:val="24"/>
          <w:szCs w:val="20"/>
        </w:rPr>
      </w:pPr>
    </w:p>
    <w:p w:rsidR="003B7BF3" w:rsidRDefault="003B7BF3" w:rsidP="004E7600">
      <w:pPr>
        <w:widowControl w:val="0"/>
        <w:autoSpaceDE w:val="0"/>
        <w:autoSpaceDN w:val="0"/>
        <w:spacing w:line="240" w:lineRule="auto"/>
        <w:ind w:firstLine="0"/>
        <w:jc w:val="right"/>
        <w:rPr>
          <w:sz w:val="24"/>
          <w:szCs w:val="20"/>
        </w:rPr>
      </w:pPr>
    </w:p>
    <w:p w:rsidR="003B7BF3" w:rsidRDefault="003B7BF3" w:rsidP="004E7600">
      <w:pPr>
        <w:widowControl w:val="0"/>
        <w:autoSpaceDE w:val="0"/>
        <w:autoSpaceDN w:val="0"/>
        <w:spacing w:line="240" w:lineRule="auto"/>
        <w:ind w:firstLine="0"/>
        <w:jc w:val="right"/>
        <w:rPr>
          <w:sz w:val="24"/>
          <w:szCs w:val="20"/>
        </w:rPr>
      </w:pPr>
    </w:p>
    <w:p w:rsidR="00DE5748" w:rsidRDefault="00DE5748" w:rsidP="00DE5748">
      <w:pPr>
        <w:widowControl w:val="0"/>
        <w:autoSpaceDE w:val="0"/>
        <w:autoSpaceDN w:val="0"/>
        <w:spacing w:line="240" w:lineRule="auto"/>
        <w:ind w:firstLine="0"/>
        <w:rPr>
          <w:sz w:val="24"/>
          <w:szCs w:val="20"/>
        </w:rPr>
      </w:pPr>
    </w:p>
    <w:p w:rsidR="004E7600" w:rsidRPr="00F15595" w:rsidRDefault="004E7600" w:rsidP="001E61D9">
      <w:pPr>
        <w:widowControl w:val="0"/>
        <w:autoSpaceDE w:val="0"/>
        <w:autoSpaceDN w:val="0"/>
        <w:spacing w:line="240" w:lineRule="auto"/>
        <w:ind w:left="6379" w:firstLine="0"/>
        <w:jc w:val="left"/>
        <w:rPr>
          <w:sz w:val="24"/>
          <w:szCs w:val="24"/>
        </w:rPr>
      </w:pPr>
      <w:r w:rsidRPr="00F15595">
        <w:rPr>
          <w:sz w:val="24"/>
          <w:szCs w:val="24"/>
        </w:rPr>
        <w:lastRenderedPageBreak/>
        <w:t>Приложение</w:t>
      </w:r>
    </w:p>
    <w:p w:rsidR="001E61D9" w:rsidRPr="00F15595" w:rsidRDefault="008F2117" w:rsidP="00D75BC4">
      <w:pPr>
        <w:widowControl w:val="0"/>
        <w:autoSpaceDE w:val="0"/>
        <w:autoSpaceDN w:val="0"/>
        <w:spacing w:line="240" w:lineRule="auto"/>
        <w:ind w:left="6379" w:firstLine="0"/>
        <w:jc w:val="left"/>
        <w:rPr>
          <w:sz w:val="24"/>
          <w:szCs w:val="24"/>
        </w:rPr>
      </w:pPr>
      <w:r w:rsidRPr="00F15595">
        <w:rPr>
          <w:sz w:val="24"/>
          <w:szCs w:val="24"/>
        </w:rPr>
        <w:t xml:space="preserve">к типовому условию </w:t>
      </w:r>
      <w:r w:rsidR="00D75BC4" w:rsidRPr="00F15595">
        <w:rPr>
          <w:sz w:val="24"/>
          <w:szCs w:val="24"/>
        </w:rPr>
        <w:t>по предоставлению Подрядчиком документ</w:t>
      </w:r>
      <w:r w:rsidR="00F15595">
        <w:rPr>
          <w:sz w:val="24"/>
          <w:szCs w:val="24"/>
        </w:rPr>
        <w:t xml:space="preserve">ов, подтверждающих приобретение </w:t>
      </w:r>
      <w:r w:rsidR="00F15595" w:rsidRPr="00F15595">
        <w:rPr>
          <w:sz w:val="24"/>
          <w:szCs w:val="24"/>
        </w:rPr>
        <w:t>общераспространенных полезных ископаемых</w:t>
      </w:r>
    </w:p>
    <w:p w:rsidR="00D75BC4" w:rsidRDefault="00D75BC4" w:rsidP="00D75BC4">
      <w:pPr>
        <w:widowControl w:val="0"/>
        <w:autoSpaceDE w:val="0"/>
        <w:autoSpaceDN w:val="0"/>
        <w:spacing w:line="240" w:lineRule="auto"/>
        <w:ind w:left="6379" w:firstLine="0"/>
        <w:jc w:val="left"/>
        <w:rPr>
          <w:sz w:val="24"/>
          <w:szCs w:val="20"/>
        </w:rPr>
      </w:pPr>
    </w:p>
    <w:p w:rsidR="001E61D9" w:rsidRPr="00424604" w:rsidRDefault="001E61D9" w:rsidP="001E61D9">
      <w:pPr>
        <w:widowControl w:val="0"/>
        <w:autoSpaceDE w:val="0"/>
        <w:autoSpaceDN w:val="0"/>
        <w:spacing w:line="240" w:lineRule="auto"/>
        <w:ind w:left="6379" w:firstLine="0"/>
        <w:jc w:val="left"/>
        <w:rPr>
          <w:sz w:val="24"/>
          <w:szCs w:val="20"/>
        </w:rPr>
      </w:pPr>
    </w:p>
    <w:p w:rsidR="004E7600" w:rsidRPr="00BF3DC8" w:rsidRDefault="004E7600" w:rsidP="001E61D9">
      <w:pPr>
        <w:widowControl w:val="0"/>
        <w:autoSpaceDE w:val="0"/>
        <w:autoSpaceDN w:val="0"/>
        <w:spacing w:line="240" w:lineRule="auto"/>
        <w:ind w:firstLine="0"/>
        <w:jc w:val="center"/>
        <w:rPr>
          <w:b/>
          <w:sz w:val="24"/>
          <w:szCs w:val="20"/>
        </w:rPr>
      </w:pPr>
      <w:r w:rsidRPr="00BF3DC8">
        <w:rPr>
          <w:b/>
          <w:sz w:val="24"/>
          <w:szCs w:val="20"/>
        </w:rPr>
        <w:t>ИНФОРМАЦИОННАЯ КАРТА</w:t>
      </w:r>
    </w:p>
    <w:p w:rsidR="008F2117" w:rsidRPr="00F15595" w:rsidRDefault="004E7600" w:rsidP="00AA4C37">
      <w:pPr>
        <w:widowControl w:val="0"/>
        <w:autoSpaceDE w:val="0"/>
        <w:autoSpaceDN w:val="0"/>
        <w:spacing w:line="240" w:lineRule="auto"/>
        <w:ind w:firstLine="0"/>
        <w:jc w:val="center"/>
        <w:rPr>
          <w:b/>
          <w:sz w:val="24"/>
          <w:szCs w:val="24"/>
        </w:rPr>
      </w:pPr>
      <w:r w:rsidRPr="00F15595">
        <w:rPr>
          <w:b/>
          <w:sz w:val="24"/>
          <w:szCs w:val="24"/>
        </w:rPr>
        <w:t xml:space="preserve">к типовому условию </w:t>
      </w:r>
      <w:r w:rsidR="00AA4C37" w:rsidRPr="00F15595">
        <w:rPr>
          <w:b/>
          <w:sz w:val="24"/>
          <w:szCs w:val="24"/>
        </w:rPr>
        <w:t xml:space="preserve">по предоставлению Подрядчиком документов, подтверждающих приобретение </w:t>
      </w:r>
      <w:r w:rsidR="00F15595" w:rsidRPr="00F15595">
        <w:rPr>
          <w:b/>
          <w:sz w:val="24"/>
          <w:szCs w:val="24"/>
        </w:rPr>
        <w:t>общераспространенных полезных ископаемых</w:t>
      </w:r>
    </w:p>
    <w:p w:rsidR="008F2117" w:rsidRPr="00BF3DC8" w:rsidRDefault="008F2117" w:rsidP="008F2117">
      <w:pPr>
        <w:widowControl w:val="0"/>
        <w:autoSpaceDE w:val="0"/>
        <w:autoSpaceDN w:val="0"/>
        <w:spacing w:line="240" w:lineRule="auto"/>
        <w:ind w:firstLine="0"/>
        <w:jc w:val="center"/>
        <w:rPr>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5017"/>
        <w:gridCol w:w="4349"/>
      </w:tblGrid>
      <w:tr w:rsidR="004E7600" w:rsidRPr="00BF3DC8" w:rsidTr="001E61D9">
        <w:tc>
          <w:tcPr>
            <w:tcW w:w="432"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r w:rsidRPr="00BF3DC8">
              <w:rPr>
                <w:sz w:val="24"/>
                <w:szCs w:val="20"/>
              </w:rPr>
              <w:t>1.</w:t>
            </w:r>
          </w:p>
        </w:tc>
        <w:tc>
          <w:tcPr>
            <w:tcW w:w="5017"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p>
        </w:tc>
      </w:tr>
      <w:tr w:rsidR="004E7600" w:rsidRPr="00BF3DC8" w:rsidTr="001E61D9">
        <w:tc>
          <w:tcPr>
            <w:tcW w:w="432"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r w:rsidRPr="00BF3DC8">
              <w:rPr>
                <w:sz w:val="24"/>
                <w:szCs w:val="20"/>
              </w:rPr>
              <w:t>а)</w:t>
            </w:r>
          </w:p>
        </w:tc>
        <w:tc>
          <w:tcPr>
            <w:tcW w:w="5017"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ответственный орган - разработчик документа;</w:t>
            </w:r>
          </w:p>
        </w:tc>
        <w:tc>
          <w:tcPr>
            <w:tcW w:w="4349" w:type="dxa"/>
            <w:tcBorders>
              <w:top w:val="nil"/>
              <w:left w:val="nil"/>
              <w:bottom w:val="nil"/>
              <w:right w:val="nil"/>
            </w:tcBorders>
          </w:tcPr>
          <w:p w:rsidR="004E7600" w:rsidRPr="00BF3DC8" w:rsidRDefault="004E7600" w:rsidP="001E61D9">
            <w:pPr>
              <w:widowControl w:val="0"/>
              <w:autoSpaceDE w:val="0"/>
              <w:autoSpaceDN w:val="0"/>
              <w:spacing w:line="240" w:lineRule="auto"/>
              <w:ind w:left="221" w:firstLine="0"/>
              <w:jc w:val="center"/>
              <w:rPr>
                <w:sz w:val="24"/>
                <w:szCs w:val="20"/>
              </w:rPr>
            </w:pPr>
            <w:r w:rsidRPr="00BF3DC8">
              <w:rPr>
                <w:sz w:val="24"/>
                <w:szCs w:val="20"/>
              </w:rPr>
              <w:t>Департамент</w:t>
            </w:r>
            <w:r w:rsidR="001E61D9">
              <w:rPr>
                <w:sz w:val="24"/>
                <w:szCs w:val="20"/>
              </w:rPr>
              <w:t xml:space="preserve"> </w:t>
            </w:r>
            <w:r w:rsidRPr="00BF3DC8">
              <w:rPr>
                <w:sz w:val="24"/>
                <w:szCs w:val="20"/>
              </w:rPr>
              <w:t>государственных закупок Свердловской области</w:t>
            </w:r>
          </w:p>
        </w:tc>
      </w:tr>
      <w:tr w:rsidR="004E7600" w:rsidRPr="00BF3DC8" w:rsidTr="001E61D9">
        <w:tc>
          <w:tcPr>
            <w:tcW w:w="432"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r w:rsidRPr="00BF3DC8">
              <w:rPr>
                <w:sz w:val="24"/>
                <w:szCs w:val="20"/>
              </w:rPr>
              <w:t>б)</w:t>
            </w:r>
          </w:p>
        </w:tc>
        <w:tc>
          <w:tcPr>
            <w:tcW w:w="5017"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вид документа.</w:t>
            </w:r>
          </w:p>
        </w:tc>
        <w:tc>
          <w:tcPr>
            <w:tcW w:w="4349"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center"/>
              <w:rPr>
                <w:sz w:val="24"/>
                <w:szCs w:val="20"/>
              </w:rPr>
            </w:pPr>
            <w:r w:rsidRPr="00BF3DC8">
              <w:rPr>
                <w:sz w:val="24"/>
                <w:szCs w:val="20"/>
              </w:rPr>
              <w:t>типово</w:t>
            </w:r>
            <w:r>
              <w:rPr>
                <w:sz w:val="24"/>
                <w:szCs w:val="20"/>
              </w:rPr>
              <w:t>е</w:t>
            </w:r>
            <w:r w:rsidRPr="00BF3DC8">
              <w:rPr>
                <w:sz w:val="24"/>
                <w:szCs w:val="20"/>
              </w:rPr>
              <w:t xml:space="preserve"> </w:t>
            </w:r>
            <w:r>
              <w:rPr>
                <w:sz w:val="24"/>
                <w:szCs w:val="20"/>
              </w:rPr>
              <w:t>условие</w:t>
            </w:r>
          </w:p>
        </w:tc>
      </w:tr>
      <w:tr w:rsidR="004E7600" w:rsidRPr="00BF3DC8" w:rsidTr="001E61D9">
        <w:tc>
          <w:tcPr>
            <w:tcW w:w="432"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r w:rsidRPr="00BF3DC8">
              <w:rPr>
                <w:sz w:val="24"/>
                <w:szCs w:val="20"/>
              </w:rPr>
              <w:t>2.</w:t>
            </w:r>
          </w:p>
        </w:tc>
        <w:tc>
          <w:tcPr>
            <w:tcW w:w="5017"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center"/>
              <w:rPr>
                <w:sz w:val="24"/>
                <w:szCs w:val="20"/>
              </w:rPr>
            </w:pPr>
          </w:p>
        </w:tc>
      </w:tr>
      <w:tr w:rsidR="004E7600" w:rsidRPr="00492832" w:rsidTr="001E61D9">
        <w:tc>
          <w:tcPr>
            <w:tcW w:w="432"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r w:rsidRPr="00BF3DC8">
              <w:rPr>
                <w:sz w:val="24"/>
                <w:szCs w:val="20"/>
              </w:rPr>
              <w:t>а)</w:t>
            </w:r>
          </w:p>
        </w:tc>
        <w:tc>
          <w:tcPr>
            <w:tcW w:w="5017"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наименование товара, работы, услуги;</w:t>
            </w:r>
          </w:p>
        </w:tc>
        <w:tc>
          <w:tcPr>
            <w:tcW w:w="4349" w:type="dxa"/>
            <w:tcBorders>
              <w:top w:val="nil"/>
              <w:left w:val="nil"/>
              <w:bottom w:val="nil"/>
              <w:right w:val="nil"/>
            </w:tcBorders>
          </w:tcPr>
          <w:p w:rsidR="004E7600" w:rsidRDefault="001E61D9" w:rsidP="001E61D9">
            <w:pPr>
              <w:widowControl w:val="0"/>
              <w:autoSpaceDE w:val="0"/>
              <w:autoSpaceDN w:val="0"/>
              <w:spacing w:line="240" w:lineRule="auto"/>
              <w:ind w:left="363" w:firstLine="0"/>
              <w:jc w:val="center"/>
              <w:rPr>
                <w:sz w:val="24"/>
                <w:szCs w:val="20"/>
              </w:rPr>
            </w:pPr>
            <w:r>
              <w:rPr>
                <w:sz w:val="24"/>
                <w:szCs w:val="20"/>
              </w:rPr>
              <w:t>Строительство (реконструкция)</w:t>
            </w:r>
            <w:r w:rsidR="00F15595">
              <w:rPr>
                <w:sz w:val="24"/>
                <w:szCs w:val="20"/>
              </w:rPr>
              <w:t xml:space="preserve">, капитальный </w:t>
            </w:r>
            <w:r w:rsidR="00D75BC4">
              <w:rPr>
                <w:sz w:val="24"/>
                <w:szCs w:val="20"/>
              </w:rPr>
              <w:t>ремонт</w:t>
            </w:r>
            <w:r>
              <w:rPr>
                <w:sz w:val="24"/>
                <w:szCs w:val="20"/>
              </w:rPr>
              <w:t xml:space="preserve"> объектов капитального строительства</w:t>
            </w:r>
          </w:p>
          <w:p w:rsidR="001E61D9" w:rsidRPr="00492832" w:rsidRDefault="001E61D9" w:rsidP="0015162A">
            <w:pPr>
              <w:widowControl w:val="0"/>
              <w:autoSpaceDE w:val="0"/>
              <w:autoSpaceDN w:val="0"/>
              <w:spacing w:line="240" w:lineRule="auto"/>
              <w:ind w:firstLine="0"/>
              <w:jc w:val="center"/>
              <w:rPr>
                <w:sz w:val="24"/>
                <w:szCs w:val="20"/>
              </w:rPr>
            </w:pPr>
          </w:p>
        </w:tc>
      </w:tr>
      <w:tr w:rsidR="004E7600" w:rsidRPr="00BF3DC8" w:rsidTr="001E61D9">
        <w:tc>
          <w:tcPr>
            <w:tcW w:w="432" w:type="dxa"/>
            <w:vMerge w:val="restart"/>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r w:rsidRPr="00BF3DC8">
              <w:rPr>
                <w:sz w:val="24"/>
                <w:szCs w:val="20"/>
              </w:rPr>
              <w:t>б)</w:t>
            </w:r>
          </w:p>
        </w:tc>
        <w:tc>
          <w:tcPr>
            <w:tcW w:w="5017"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код (коды) предмета контракта:</w:t>
            </w:r>
          </w:p>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по общероссийскому классификатору продукции по видам экономической деятельности (ОКПД</w:t>
            </w:r>
            <w:r>
              <w:rPr>
                <w:sz w:val="24"/>
                <w:szCs w:val="20"/>
              </w:rPr>
              <w:t>2</w:t>
            </w:r>
            <w:r w:rsidRPr="00BF3DC8">
              <w:rPr>
                <w:sz w:val="24"/>
                <w:szCs w:val="20"/>
              </w:rPr>
              <w:t>);</w:t>
            </w:r>
          </w:p>
        </w:tc>
        <w:tc>
          <w:tcPr>
            <w:tcW w:w="4349" w:type="dxa"/>
            <w:tcBorders>
              <w:top w:val="nil"/>
              <w:left w:val="nil"/>
              <w:bottom w:val="nil"/>
              <w:right w:val="nil"/>
            </w:tcBorders>
          </w:tcPr>
          <w:p w:rsidR="001E61D9" w:rsidRPr="001E61D9" w:rsidRDefault="001E61D9" w:rsidP="001E61D9">
            <w:pPr>
              <w:widowControl w:val="0"/>
              <w:autoSpaceDE w:val="0"/>
              <w:autoSpaceDN w:val="0"/>
              <w:spacing w:line="240" w:lineRule="auto"/>
              <w:ind w:left="363" w:firstLine="0"/>
              <w:jc w:val="center"/>
              <w:rPr>
                <w:sz w:val="24"/>
                <w:szCs w:val="20"/>
              </w:rPr>
            </w:pPr>
            <w:r>
              <w:rPr>
                <w:sz w:val="24"/>
                <w:szCs w:val="20"/>
              </w:rPr>
              <w:t>К</w:t>
            </w:r>
            <w:r w:rsidRPr="001E61D9">
              <w:rPr>
                <w:sz w:val="24"/>
                <w:szCs w:val="20"/>
              </w:rPr>
              <w:t>од (коды) предмета контракта</w:t>
            </w:r>
          </w:p>
          <w:p w:rsidR="001E61D9" w:rsidRPr="001E61D9" w:rsidRDefault="001E61D9" w:rsidP="001E61D9">
            <w:pPr>
              <w:widowControl w:val="0"/>
              <w:autoSpaceDE w:val="0"/>
              <w:autoSpaceDN w:val="0"/>
              <w:spacing w:line="240" w:lineRule="auto"/>
              <w:ind w:firstLine="0"/>
              <w:jc w:val="center"/>
              <w:rPr>
                <w:sz w:val="24"/>
                <w:szCs w:val="20"/>
              </w:rPr>
            </w:pPr>
            <w:r w:rsidRPr="001E61D9">
              <w:rPr>
                <w:sz w:val="24"/>
                <w:szCs w:val="20"/>
              </w:rPr>
              <w:t>ОКПД2:</w:t>
            </w:r>
          </w:p>
          <w:p w:rsidR="001E61D9" w:rsidRPr="001E61D9" w:rsidRDefault="001E61D9" w:rsidP="001E61D9">
            <w:pPr>
              <w:widowControl w:val="0"/>
              <w:autoSpaceDE w:val="0"/>
              <w:autoSpaceDN w:val="0"/>
              <w:spacing w:line="240" w:lineRule="auto"/>
              <w:ind w:firstLine="0"/>
              <w:jc w:val="center"/>
              <w:rPr>
                <w:sz w:val="24"/>
                <w:szCs w:val="20"/>
              </w:rPr>
            </w:pPr>
            <w:r w:rsidRPr="001E61D9">
              <w:rPr>
                <w:sz w:val="24"/>
                <w:szCs w:val="20"/>
              </w:rPr>
              <w:t>41.2</w:t>
            </w:r>
          </w:p>
          <w:p w:rsidR="001E61D9" w:rsidRPr="001E61D9" w:rsidRDefault="001E61D9" w:rsidP="001E61D9">
            <w:pPr>
              <w:widowControl w:val="0"/>
              <w:autoSpaceDE w:val="0"/>
              <w:autoSpaceDN w:val="0"/>
              <w:spacing w:line="240" w:lineRule="auto"/>
              <w:ind w:firstLine="0"/>
              <w:jc w:val="center"/>
              <w:rPr>
                <w:sz w:val="24"/>
                <w:szCs w:val="20"/>
              </w:rPr>
            </w:pPr>
            <w:r w:rsidRPr="001E61D9">
              <w:rPr>
                <w:sz w:val="24"/>
                <w:szCs w:val="20"/>
              </w:rPr>
              <w:t>42</w:t>
            </w:r>
          </w:p>
          <w:p w:rsidR="004E7600" w:rsidRPr="00BF3DC8" w:rsidRDefault="001E61D9" w:rsidP="001E61D9">
            <w:pPr>
              <w:widowControl w:val="0"/>
              <w:autoSpaceDE w:val="0"/>
              <w:autoSpaceDN w:val="0"/>
              <w:spacing w:line="240" w:lineRule="auto"/>
              <w:ind w:firstLine="0"/>
              <w:jc w:val="center"/>
              <w:rPr>
                <w:sz w:val="24"/>
                <w:szCs w:val="20"/>
              </w:rPr>
            </w:pPr>
            <w:r w:rsidRPr="001E61D9">
              <w:rPr>
                <w:sz w:val="24"/>
                <w:szCs w:val="20"/>
              </w:rPr>
              <w:t>43</w:t>
            </w:r>
          </w:p>
        </w:tc>
      </w:tr>
      <w:tr w:rsidR="004E7600" w:rsidRPr="00BF3DC8" w:rsidTr="001E61D9">
        <w:tc>
          <w:tcPr>
            <w:tcW w:w="432" w:type="dxa"/>
            <w:vMerge/>
            <w:tcBorders>
              <w:top w:val="nil"/>
              <w:left w:val="nil"/>
              <w:bottom w:val="nil"/>
              <w:right w:val="nil"/>
            </w:tcBorders>
          </w:tcPr>
          <w:p w:rsidR="004E7600" w:rsidRPr="00BF3DC8" w:rsidRDefault="004E7600" w:rsidP="0015162A">
            <w:pPr>
              <w:spacing w:line="240" w:lineRule="auto"/>
              <w:ind w:firstLine="0"/>
              <w:jc w:val="left"/>
              <w:rPr>
                <w:sz w:val="24"/>
                <w:szCs w:val="24"/>
              </w:rPr>
            </w:pPr>
          </w:p>
        </w:tc>
        <w:tc>
          <w:tcPr>
            <w:tcW w:w="5017"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по общероссийскому классификатору видов экономической деятельности (ОКВЭД);</w:t>
            </w:r>
          </w:p>
        </w:tc>
        <w:tc>
          <w:tcPr>
            <w:tcW w:w="4349" w:type="dxa"/>
            <w:tcBorders>
              <w:top w:val="nil"/>
              <w:left w:val="nil"/>
              <w:bottom w:val="nil"/>
              <w:right w:val="nil"/>
            </w:tcBorders>
          </w:tcPr>
          <w:p w:rsidR="001E61D9" w:rsidRPr="001E61D9" w:rsidRDefault="001E61D9" w:rsidP="001E61D9">
            <w:pPr>
              <w:widowControl w:val="0"/>
              <w:autoSpaceDE w:val="0"/>
              <w:autoSpaceDN w:val="0"/>
              <w:spacing w:line="240" w:lineRule="auto"/>
              <w:ind w:firstLine="0"/>
              <w:jc w:val="center"/>
              <w:rPr>
                <w:sz w:val="24"/>
                <w:szCs w:val="20"/>
              </w:rPr>
            </w:pPr>
            <w:r w:rsidRPr="001E61D9">
              <w:rPr>
                <w:sz w:val="24"/>
                <w:szCs w:val="20"/>
              </w:rPr>
              <w:t>41.2</w:t>
            </w:r>
          </w:p>
          <w:p w:rsidR="001E61D9" w:rsidRPr="001E61D9" w:rsidRDefault="001E61D9" w:rsidP="001E61D9">
            <w:pPr>
              <w:widowControl w:val="0"/>
              <w:autoSpaceDE w:val="0"/>
              <w:autoSpaceDN w:val="0"/>
              <w:spacing w:line="240" w:lineRule="auto"/>
              <w:ind w:firstLine="0"/>
              <w:jc w:val="center"/>
              <w:rPr>
                <w:sz w:val="24"/>
                <w:szCs w:val="20"/>
              </w:rPr>
            </w:pPr>
            <w:r w:rsidRPr="001E61D9">
              <w:rPr>
                <w:sz w:val="24"/>
                <w:szCs w:val="20"/>
              </w:rPr>
              <w:t>42</w:t>
            </w:r>
          </w:p>
          <w:p w:rsidR="004E7600" w:rsidRDefault="001E61D9" w:rsidP="001E61D9">
            <w:pPr>
              <w:widowControl w:val="0"/>
              <w:autoSpaceDE w:val="0"/>
              <w:autoSpaceDN w:val="0"/>
              <w:spacing w:line="240" w:lineRule="auto"/>
              <w:ind w:firstLine="0"/>
              <w:jc w:val="center"/>
              <w:rPr>
                <w:sz w:val="24"/>
                <w:szCs w:val="20"/>
              </w:rPr>
            </w:pPr>
            <w:r w:rsidRPr="001E61D9">
              <w:rPr>
                <w:sz w:val="24"/>
                <w:szCs w:val="20"/>
              </w:rPr>
              <w:t>43</w:t>
            </w:r>
          </w:p>
          <w:p w:rsidR="001E61D9" w:rsidRPr="00BF3DC8" w:rsidRDefault="001E61D9" w:rsidP="001E61D9">
            <w:pPr>
              <w:widowControl w:val="0"/>
              <w:autoSpaceDE w:val="0"/>
              <w:autoSpaceDN w:val="0"/>
              <w:spacing w:line="240" w:lineRule="auto"/>
              <w:ind w:firstLine="0"/>
              <w:jc w:val="center"/>
              <w:rPr>
                <w:sz w:val="24"/>
                <w:szCs w:val="20"/>
              </w:rPr>
            </w:pPr>
          </w:p>
        </w:tc>
      </w:tr>
      <w:tr w:rsidR="004E7600" w:rsidRPr="00BF3DC8" w:rsidTr="001E61D9">
        <w:tc>
          <w:tcPr>
            <w:tcW w:w="432"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r w:rsidRPr="00BF3DC8">
              <w:rPr>
                <w:sz w:val="24"/>
                <w:szCs w:val="20"/>
              </w:rPr>
              <w:t>в)</w:t>
            </w:r>
          </w:p>
        </w:tc>
        <w:tc>
          <w:tcPr>
            <w:tcW w:w="5017"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rsidR="004E7600" w:rsidRPr="00BF3DC8" w:rsidRDefault="001E61D9" w:rsidP="001E61D9">
            <w:pPr>
              <w:widowControl w:val="0"/>
              <w:autoSpaceDE w:val="0"/>
              <w:autoSpaceDN w:val="0"/>
              <w:spacing w:line="240" w:lineRule="auto"/>
              <w:ind w:left="363" w:hanging="62"/>
              <w:jc w:val="center"/>
              <w:rPr>
                <w:sz w:val="24"/>
                <w:szCs w:val="20"/>
              </w:rPr>
            </w:pPr>
            <w:r>
              <w:rPr>
                <w:sz w:val="24"/>
              </w:rPr>
              <w:t xml:space="preserve">Вне зависимости от </w:t>
            </w:r>
            <w:r w:rsidRPr="001E61D9">
              <w:rPr>
                <w:sz w:val="24"/>
              </w:rPr>
              <w:t>начальной (максимальной) цены контракта</w:t>
            </w:r>
          </w:p>
        </w:tc>
      </w:tr>
      <w:tr w:rsidR="004E7600" w:rsidRPr="00BF3DC8" w:rsidTr="001E61D9">
        <w:tc>
          <w:tcPr>
            <w:tcW w:w="432"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r w:rsidRPr="00BF3DC8">
              <w:rPr>
                <w:sz w:val="24"/>
                <w:szCs w:val="20"/>
              </w:rPr>
              <w:t>г)</w:t>
            </w:r>
          </w:p>
        </w:tc>
        <w:tc>
          <w:tcPr>
            <w:tcW w:w="5017"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rPr>
                <w:sz w:val="24"/>
                <w:szCs w:val="20"/>
              </w:rPr>
            </w:pPr>
            <w:r w:rsidRPr="00BF3DC8">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rsidR="004E7600" w:rsidRPr="00BF3DC8" w:rsidRDefault="004E7600" w:rsidP="0015162A">
            <w:pPr>
              <w:widowControl w:val="0"/>
              <w:autoSpaceDE w:val="0"/>
              <w:autoSpaceDN w:val="0"/>
              <w:spacing w:line="240" w:lineRule="auto"/>
              <w:ind w:firstLine="0"/>
              <w:jc w:val="left"/>
              <w:rPr>
                <w:sz w:val="24"/>
                <w:szCs w:val="20"/>
              </w:rPr>
            </w:pPr>
          </w:p>
        </w:tc>
      </w:tr>
    </w:tbl>
    <w:p w:rsidR="004E7600" w:rsidRDefault="004E7600" w:rsidP="00A13C59">
      <w:pPr>
        <w:spacing w:line="240" w:lineRule="auto"/>
        <w:ind w:firstLine="709"/>
        <w:rPr>
          <w:sz w:val="24"/>
          <w:szCs w:val="24"/>
        </w:rPr>
      </w:pPr>
    </w:p>
    <w:sectPr w:rsidR="004E7600" w:rsidSect="00FD2859">
      <w:headerReference w:type="default" r:id="rId8"/>
      <w:pgSz w:w="11906" w:h="16838"/>
      <w:pgMar w:top="1134" w:right="567" w:bottom="1134" w:left="1418" w:header="709" w:footer="709" w:gutter="0"/>
      <w:pgNumType w:start="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D18" w:rsidRDefault="00FC5D18" w:rsidP="004202B5">
      <w:pPr>
        <w:spacing w:line="240" w:lineRule="auto"/>
      </w:pPr>
      <w:r>
        <w:separator/>
      </w:r>
    </w:p>
  </w:endnote>
  <w:endnote w:type="continuationSeparator" w:id="0">
    <w:p w:rsidR="00FC5D18" w:rsidRDefault="00FC5D18"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D18" w:rsidRDefault="00FC5D18" w:rsidP="004202B5">
      <w:pPr>
        <w:spacing w:line="240" w:lineRule="auto"/>
      </w:pPr>
      <w:r>
        <w:separator/>
      </w:r>
    </w:p>
  </w:footnote>
  <w:footnote w:type="continuationSeparator" w:id="0">
    <w:p w:rsidR="00FC5D18" w:rsidRDefault="00FC5D18" w:rsidP="004202B5">
      <w:pPr>
        <w:spacing w:line="240" w:lineRule="auto"/>
      </w:pPr>
      <w:r>
        <w:continuationSeparator/>
      </w:r>
    </w:p>
  </w:footnote>
  <w:footnote w:id="1">
    <w:p w:rsidR="00DE5748" w:rsidRPr="00DE5748" w:rsidRDefault="00DE5748" w:rsidP="00DE5748">
      <w:pPr>
        <w:pStyle w:val="af3"/>
        <w:ind w:left="139"/>
        <w:jc w:val="both"/>
        <w:rPr>
          <w:rFonts w:ascii="Times New Roman" w:hAnsi="Times New Roman" w:cs="Times New Roman"/>
          <w:sz w:val="18"/>
          <w:szCs w:val="18"/>
        </w:rPr>
      </w:pPr>
      <w:r w:rsidRPr="00DE5748">
        <w:rPr>
          <w:rStyle w:val="a4"/>
          <w:rFonts w:cs="Times New Roman"/>
          <w:sz w:val="18"/>
          <w:szCs w:val="18"/>
        </w:rPr>
        <w:footnoteRef/>
      </w:r>
      <w:r w:rsidRPr="00DE5748">
        <w:rPr>
          <w:rFonts w:ascii="Times New Roman" w:hAnsi="Times New Roman" w:cs="Times New Roman"/>
          <w:sz w:val="18"/>
          <w:szCs w:val="18"/>
        </w:rPr>
        <w:t xml:space="preserve"> В соотв</w:t>
      </w:r>
      <w:r>
        <w:rPr>
          <w:rFonts w:ascii="Times New Roman" w:hAnsi="Times New Roman" w:cs="Times New Roman"/>
          <w:sz w:val="18"/>
          <w:szCs w:val="18"/>
        </w:rPr>
        <w:t>ет</w:t>
      </w:r>
      <w:r w:rsidRPr="00DE5748">
        <w:rPr>
          <w:rFonts w:ascii="Times New Roman" w:hAnsi="Times New Roman" w:cs="Times New Roman"/>
          <w:sz w:val="18"/>
          <w:szCs w:val="18"/>
        </w:rPr>
        <w:t>ствии с Распоряжение</w:t>
      </w:r>
      <w:r w:rsidR="00BA7AA1">
        <w:rPr>
          <w:rFonts w:ascii="Times New Roman" w:hAnsi="Times New Roman" w:cs="Times New Roman"/>
          <w:sz w:val="18"/>
          <w:szCs w:val="18"/>
        </w:rPr>
        <w:t>м</w:t>
      </w:r>
      <w:r w:rsidRPr="00DE5748">
        <w:rPr>
          <w:rFonts w:ascii="Times New Roman" w:hAnsi="Times New Roman" w:cs="Times New Roman"/>
          <w:sz w:val="18"/>
          <w:szCs w:val="18"/>
        </w:rPr>
        <w:t xml:space="preserve"> Министерства природных ресурсов РФ и Правительства Свердловской области </w:t>
      </w:r>
      <w:r w:rsidR="00BA7AA1">
        <w:rPr>
          <w:rFonts w:ascii="Times New Roman" w:hAnsi="Times New Roman" w:cs="Times New Roman"/>
          <w:sz w:val="18"/>
          <w:szCs w:val="18"/>
        </w:rPr>
        <w:br/>
      </w:r>
      <w:r w:rsidRPr="00DE5748">
        <w:rPr>
          <w:rFonts w:ascii="Times New Roman" w:hAnsi="Times New Roman" w:cs="Times New Roman"/>
          <w:sz w:val="18"/>
          <w:szCs w:val="18"/>
        </w:rPr>
        <w:t xml:space="preserve">от 16 марта 2006 г. </w:t>
      </w:r>
      <w:r>
        <w:rPr>
          <w:rFonts w:ascii="Times New Roman" w:hAnsi="Times New Roman" w:cs="Times New Roman"/>
          <w:sz w:val="18"/>
          <w:szCs w:val="18"/>
        </w:rPr>
        <w:t>№</w:t>
      </w:r>
      <w:r w:rsidRPr="00DE5748">
        <w:rPr>
          <w:rFonts w:ascii="Times New Roman" w:hAnsi="Times New Roman" w:cs="Times New Roman"/>
          <w:sz w:val="18"/>
          <w:szCs w:val="18"/>
        </w:rPr>
        <w:t xml:space="preserve"> 9-р/01-49-142 </w:t>
      </w:r>
      <w:r>
        <w:rPr>
          <w:rFonts w:ascii="Times New Roman" w:hAnsi="Times New Roman" w:cs="Times New Roman"/>
          <w:sz w:val="18"/>
          <w:szCs w:val="18"/>
        </w:rPr>
        <w:t>«</w:t>
      </w:r>
      <w:r w:rsidRPr="00DE5748">
        <w:rPr>
          <w:rFonts w:ascii="Times New Roman" w:hAnsi="Times New Roman" w:cs="Times New Roman"/>
          <w:sz w:val="18"/>
          <w:szCs w:val="18"/>
        </w:rPr>
        <w:t>Об утверждении перечня общераспространенных полезных ископаемых по Свердловской области</w:t>
      </w:r>
      <w:r>
        <w:rPr>
          <w:rFonts w:ascii="Times New Roman" w:hAnsi="Times New Roman" w:cs="Times New Roman"/>
          <w:sz w:val="18"/>
          <w:szCs w:val="18"/>
        </w:rPr>
        <w:t>»</w:t>
      </w:r>
    </w:p>
    <w:p w:rsidR="00DE5748" w:rsidRPr="00DE5748" w:rsidRDefault="00DE5748" w:rsidP="00DE5748">
      <w:pPr>
        <w:autoSpaceDE w:val="0"/>
        <w:autoSpaceDN w:val="0"/>
        <w:adjustRightInd w:val="0"/>
        <w:spacing w:line="240" w:lineRule="auto"/>
        <w:ind w:firstLine="720"/>
        <w:rPr>
          <w:rFonts w:ascii="Arial" w:eastAsiaTheme="minorHAnsi" w:hAnsi="Arial" w:cs="Arial"/>
          <w:sz w:val="24"/>
          <w:szCs w:val="24"/>
          <w:lang w:eastAsia="en-US"/>
        </w:rPr>
      </w:pPr>
    </w:p>
    <w:p w:rsidR="00DE5748" w:rsidRPr="00DE5748" w:rsidRDefault="00DE5748" w:rsidP="00DE5748">
      <w:pPr>
        <w:autoSpaceDE w:val="0"/>
        <w:autoSpaceDN w:val="0"/>
        <w:adjustRightInd w:val="0"/>
        <w:spacing w:line="240" w:lineRule="auto"/>
        <w:ind w:firstLine="720"/>
        <w:rPr>
          <w:rFonts w:ascii="Arial" w:eastAsiaTheme="minorHAnsi" w:hAnsi="Arial" w:cs="Arial"/>
          <w:sz w:val="24"/>
          <w:szCs w:val="24"/>
          <w:lang w:eastAsia="en-US"/>
        </w:rPr>
      </w:pPr>
    </w:p>
    <w:p w:rsidR="00DE5748" w:rsidRDefault="00DE5748">
      <w:pPr>
        <w:pStyle w:val="a5"/>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27626"/>
      <w:docPartObj>
        <w:docPartGallery w:val="Page Numbers (Top of Page)"/>
        <w:docPartUnique/>
      </w:docPartObj>
    </w:sdtPr>
    <w:sdtEndPr/>
    <w:sdtContent>
      <w:p w:rsidR="00FD2859" w:rsidRDefault="00FD2859">
        <w:pPr>
          <w:pStyle w:val="aa"/>
          <w:jc w:val="center"/>
        </w:pPr>
        <w:r>
          <w:fldChar w:fldCharType="begin"/>
        </w:r>
        <w:r>
          <w:instrText>PAGE   \* MERGEFORMAT</w:instrText>
        </w:r>
        <w:r>
          <w:fldChar w:fldCharType="separate"/>
        </w:r>
        <w:r w:rsidR="002E329E">
          <w:rPr>
            <w:noProof/>
          </w:rPr>
          <w:t>3</w:t>
        </w:r>
        <w:r>
          <w:fldChar w:fldCharType="end"/>
        </w:r>
      </w:p>
    </w:sdtContent>
  </w:sdt>
  <w:p w:rsidR="006D331A" w:rsidRDefault="006D33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4B232E0"/>
    <w:multiLevelType w:val="multilevel"/>
    <w:tmpl w:val="D49AD1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60FA2E1E"/>
    <w:multiLevelType w:val="hybridMultilevel"/>
    <w:tmpl w:val="DB3629A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248E0"/>
    <w:rsid w:val="0008027B"/>
    <w:rsid w:val="000932A2"/>
    <w:rsid w:val="000B7E6E"/>
    <w:rsid w:val="000C6833"/>
    <w:rsid w:val="000D145E"/>
    <w:rsid w:val="000F1E61"/>
    <w:rsid w:val="000F7272"/>
    <w:rsid w:val="00111A6A"/>
    <w:rsid w:val="001138EA"/>
    <w:rsid w:val="00166A67"/>
    <w:rsid w:val="00192812"/>
    <w:rsid w:val="001B61C9"/>
    <w:rsid w:val="001D1415"/>
    <w:rsid w:val="001E2781"/>
    <w:rsid w:val="001E61D9"/>
    <w:rsid w:val="001F218F"/>
    <w:rsid w:val="002619CB"/>
    <w:rsid w:val="002926C3"/>
    <w:rsid w:val="002A55C0"/>
    <w:rsid w:val="002B51BF"/>
    <w:rsid w:val="002B5749"/>
    <w:rsid w:val="002C3718"/>
    <w:rsid w:val="002E2667"/>
    <w:rsid w:val="002E329E"/>
    <w:rsid w:val="002E3F59"/>
    <w:rsid w:val="0031009C"/>
    <w:rsid w:val="00320CA4"/>
    <w:rsid w:val="003228A4"/>
    <w:rsid w:val="00341207"/>
    <w:rsid w:val="003947AC"/>
    <w:rsid w:val="003B7BF3"/>
    <w:rsid w:val="003D7695"/>
    <w:rsid w:val="003E0A9E"/>
    <w:rsid w:val="004052AB"/>
    <w:rsid w:val="004200FE"/>
    <w:rsid w:val="004202B5"/>
    <w:rsid w:val="00424604"/>
    <w:rsid w:val="0045725B"/>
    <w:rsid w:val="004607EF"/>
    <w:rsid w:val="004741FD"/>
    <w:rsid w:val="00491984"/>
    <w:rsid w:val="00495A6E"/>
    <w:rsid w:val="004A3ACD"/>
    <w:rsid w:val="004D087C"/>
    <w:rsid w:val="004E7600"/>
    <w:rsid w:val="005306FF"/>
    <w:rsid w:val="00564923"/>
    <w:rsid w:val="00586A49"/>
    <w:rsid w:val="005A672B"/>
    <w:rsid w:val="005D0AFC"/>
    <w:rsid w:val="005F59C7"/>
    <w:rsid w:val="00631A86"/>
    <w:rsid w:val="00672A12"/>
    <w:rsid w:val="006D331A"/>
    <w:rsid w:val="006F3263"/>
    <w:rsid w:val="00710D18"/>
    <w:rsid w:val="0071522C"/>
    <w:rsid w:val="00740C93"/>
    <w:rsid w:val="007A52E8"/>
    <w:rsid w:val="007B2AC5"/>
    <w:rsid w:val="007D5B7F"/>
    <w:rsid w:val="007D5CF1"/>
    <w:rsid w:val="007E0AE2"/>
    <w:rsid w:val="008027B4"/>
    <w:rsid w:val="00834C3D"/>
    <w:rsid w:val="00852779"/>
    <w:rsid w:val="00887929"/>
    <w:rsid w:val="008D6E8A"/>
    <w:rsid w:val="008E3664"/>
    <w:rsid w:val="008F2117"/>
    <w:rsid w:val="0092351D"/>
    <w:rsid w:val="00930C2D"/>
    <w:rsid w:val="00993491"/>
    <w:rsid w:val="009A64E8"/>
    <w:rsid w:val="009D3056"/>
    <w:rsid w:val="009E31D4"/>
    <w:rsid w:val="009E6677"/>
    <w:rsid w:val="009F2269"/>
    <w:rsid w:val="00A13C59"/>
    <w:rsid w:val="00A1421B"/>
    <w:rsid w:val="00A206A3"/>
    <w:rsid w:val="00A70D23"/>
    <w:rsid w:val="00A92343"/>
    <w:rsid w:val="00AA015D"/>
    <w:rsid w:val="00AA4C37"/>
    <w:rsid w:val="00AB2F65"/>
    <w:rsid w:val="00AD2893"/>
    <w:rsid w:val="00AE12D9"/>
    <w:rsid w:val="00AE35F1"/>
    <w:rsid w:val="00AE44DB"/>
    <w:rsid w:val="00B011EF"/>
    <w:rsid w:val="00B02F10"/>
    <w:rsid w:val="00B8219E"/>
    <w:rsid w:val="00B94440"/>
    <w:rsid w:val="00B97745"/>
    <w:rsid w:val="00BA7AA1"/>
    <w:rsid w:val="00BC6B98"/>
    <w:rsid w:val="00BD5CEA"/>
    <w:rsid w:val="00BF3DC8"/>
    <w:rsid w:val="00C201B6"/>
    <w:rsid w:val="00C272A9"/>
    <w:rsid w:val="00C40AC9"/>
    <w:rsid w:val="00C46398"/>
    <w:rsid w:val="00C50FE8"/>
    <w:rsid w:val="00C73FA7"/>
    <w:rsid w:val="00CB1532"/>
    <w:rsid w:val="00CC626E"/>
    <w:rsid w:val="00D11C56"/>
    <w:rsid w:val="00D16FA3"/>
    <w:rsid w:val="00D26DED"/>
    <w:rsid w:val="00D277CD"/>
    <w:rsid w:val="00D420DB"/>
    <w:rsid w:val="00D61A24"/>
    <w:rsid w:val="00D6671F"/>
    <w:rsid w:val="00D75BC4"/>
    <w:rsid w:val="00D80098"/>
    <w:rsid w:val="00D90733"/>
    <w:rsid w:val="00D952C6"/>
    <w:rsid w:val="00DA01A9"/>
    <w:rsid w:val="00DA4F03"/>
    <w:rsid w:val="00DB3EDE"/>
    <w:rsid w:val="00DC3F3A"/>
    <w:rsid w:val="00DE0E9C"/>
    <w:rsid w:val="00DE4E24"/>
    <w:rsid w:val="00DE5748"/>
    <w:rsid w:val="00E14966"/>
    <w:rsid w:val="00E272CA"/>
    <w:rsid w:val="00E54DED"/>
    <w:rsid w:val="00E57578"/>
    <w:rsid w:val="00E609CF"/>
    <w:rsid w:val="00E6411C"/>
    <w:rsid w:val="00E8739C"/>
    <w:rsid w:val="00E9097C"/>
    <w:rsid w:val="00E92720"/>
    <w:rsid w:val="00EA2D2F"/>
    <w:rsid w:val="00EB5D8E"/>
    <w:rsid w:val="00ED2820"/>
    <w:rsid w:val="00EE473C"/>
    <w:rsid w:val="00EE4949"/>
    <w:rsid w:val="00F03C3A"/>
    <w:rsid w:val="00F065F5"/>
    <w:rsid w:val="00F15595"/>
    <w:rsid w:val="00F17685"/>
    <w:rsid w:val="00F411ED"/>
    <w:rsid w:val="00F44900"/>
    <w:rsid w:val="00F571BF"/>
    <w:rsid w:val="00F80D97"/>
    <w:rsid w:val="00F86AD6"/>
    <w:rsid w:val="00FB629C"/>
    <w:rsid w:val="00FC5D18"/>
    <w:rsid w:val="00FD2859"/>
    <w:rsid w:val="00FE1670"/>
    <w:rsid w:val="00FE1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C86A"/>
  <w15:docId w15:val="{E8E1C5D2-389A-478B-99CF-C6A6BA2E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 по ширине"/>
    <w:basedOn w:val="a"/>
    <w:rsid w:val="004202B5"/>
    <w:pPr>
      <w:spacing w:line="240" w:lineRule="auto"/>
      <w:ind w:firstLine="0"/>
    </w:pPr>
    <w:rPr>
      <w:sz w:val="24"/>
      <w:szCs w:val="24"/>
    </w:rPr>
  </w:style>
  <w:style w:type="character" w:styleId="a4">
    <w:name w:val="footnote reference"/>
    <w:basedOn w:val="a0"/>
    <w:uiPriority w:val="99"/>
    <w:rsid w:val="004202B5"/>
    <w:rPr>
      <w:rFonts w:ascii="Times New Roman" w:hAnsi="Times New Roman"/>
      <w:vertAlign w:val="superscript"/>
    </w:rPr>
  </w:style>
  <w:style w:type="paragraph" w:styleId="a5">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6"/>
    <w:uiPriority w:val="99"/>
    <w:rsid w:val="004202B5"/>
    <w:pPr>
      <w:spacing w:after="60" w:line="240" w:lineRule="auto"/>
      <w:ind w:firstLine="0"/>
    </w:pPr>
    <w:rPr>
      <w:sz w:val="20"/>
      <w:szCs w:val="20"/>
    </w:rPr>
  </w:style>
  <w:style w:type="character" w:customStyle="1" w:styleId="a6">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5"/>
    <w:uiPriority w:val="99"/>
    <w:rsid w:val="004202B5"/>
    <w:rPr>
      <w:rFonts w:ascii="Times New Roman" w:eastAsia="Times New Roman" w:hAnsi="Times New Roman" w:cs="Times New Roman"/>
      <w:sz w:val="20"/>
      <w:szCs w:val="20"/>
      <w:lang w:eastAsia="ru-RU"/>
    </w:rPr>
  </w:style>
  <w:style w:type="paragraph" w:customStyle="1" w:styleId="a7">
    <w:name w:val="Подраздел"/>
    <w:basedOn w:val="a"/>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8">
    <w:name w:val="List Paragraph"/>
    <w:basedOn w:val="a"/>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paragraph" w:customStyle="1" w:styleId="ConsNonformat">
    <w:name w:val="ConsNonformat"/>
    <w:rsid w:val="004D087C"/>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4D087C"/>
    <w:pPr>
      <w:widowControl w:val="0"/>
      <w:suppressAutoHyphens/>
      <w:spacing w:after="0" w:line="240" w:lineRule="auto"/>
      <w:ind w:firstLine="720"/>
    </w:pPr>
    <w:rPr>
      <w:rFonts w:ascii="Consultant" w:eastAsia="Arial" w:hAnsi="Consultant" w:cs="Times New Roman"/>
      <w:sz w:val="28"/>
      <w:lang w:eastAsia="ar-SA"/>
    </w:rPr>
  </w:style>
  <w:style w:type="character" w:customStyle="1" w:styleId="ConsNormal0">
    <w:name w:val="ConsNormal Знак"/>
    <w:link w:val="ConsNormal"/>
    <w:rsid w:val="004D087C"/>
    <w:rPr>
      <w:rFonts w:ascii="Consultant" w:eastAsia="Arial" w:hAnsi="Consultant" w:cs="Times New Roman"/>
      <w:sz w:val="28"/>
      <w:lang w:eastAsia="ar-SA"/>
    </w:rPr>
  </w:style>
  <w:style w:type="character" w:customStyle="1" w:styleId="Bodytext">
    <w:name w:val="Body text_"/>
    <w:basedOn w:val="a0"/>
    <w:link w:val="2"/>
    <w:rsid w:val="004D087C"/>
    <w:rPr>
      <w:rFonts w:eastAsia="Times New Roman"/>
      <w:sz w:val="28"/>
      <w:szCs w:val="28"/>
      <w:shd w:val="clear" w:color="auto" w:fill="FFFFFF"/>
    </w:rPr>
  </w:style>
  <w:style w:type="paragraph" w:customStyle="1" w:styleId="2">
    <w:name w:val="Основной текст2"/>
    <w:basedOn w:val="a"/>
    <w:link w:val="Bodytext"/>
    <w:rsid w:val="004D087C"/>
    <w:pPr>
      <w:widowControl w:val="0"/>
      <w:shd w:val="clear" w:color="auto" w:fill="FFFFFF"/>
      <w:spacing w:before="600" w:line="389" w:lineRule="exact"/>
      <w:ind w:hanging="960"/>
    </w:pPr>
    <w:rPr>
      <w:rFonts w:asciiTheme="minorHAnsi" w:hAnsiTheme="minorHAnsi" w:cstheme="minorBidi"/>
      <w:lang w:eastAsia="en-US"/>
    </w:rPr>
  </w:style>
  <w:style w:type="character" w:customStyle="1" w:styleId="Bodytext6NotItalic">
    <w:name w:val="Body text (6) + Not Italic"/>
    <w:basedOn w:val="a0"/>
    <w:rsid w:val="004D087C"/>
    <w:rPr>
      <w:rFonts w:eastAsia="Times New Roman"/>
      <w:i/>
      <w:iCs/>
      <w:color w:val="000000"/>
      <w:spacing w:val="0"/>
      <w:w w:val="100"/>
      <w:position w:val="0"/>
      <w:sz w:val="28"/>
      <w:szCs w:val="28"/>
      <w:shd w:val="clear" w:color="auto" w:fill="FFFFFF"/>
      <w:lang w:val="ru-RU"/>
    </w:rPr>
  </w:style>
  <w:style w:type="table" w:customStyle="1" w:styleId="1">
    <w:name w:val="Сетка таблицы1"/>
    <w:basedOn w:val="a1"/>
    <w:next w:val="a9"/>
    <w:uiPriority w:val="59"/>
    <w:rsid w:val="00D907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D90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932A2"/>
    <w:pPr>
      <w:tabs>
        <w:tab w:val="center" w:pos="4677"/>
        <w:tab w:val="right" w:pos="9355"/>
      </w:tabs>
      <w:spacing w:line="240" w:lineRule="auto"/>
    </w:pPr>
  </w:style>
  <w:style w:type="character" w:customStyle="1" w:styleId="ab">
    <w:name w:val="Верхний колонтитул Знак"/>
    <w:basedOn w:val="a0"/>
    <w:link w:val="aa"/>
    <w:uiPriority w:val="99"/>
    <w:rsid w:val="000932A2"/>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0932A2"/>
    <w:pPr>
      <w:tabs>
        <w:tab w:val="center" w:pos="4677"/>
        <w:tab w:val="right" w:pos="9355"/>
      </w:tabs>
      <w:spacing w:line="240" w:lineRule="auto"/>
    </w:pPr>
  </w:style>
  <w:style w:type="character" w:customStyle="1" w:styleId="ad">
    <w:name w:val="Нижний колонтитул Знак"/>
    <w:basedOn w:val="a0"/>
    <w:link w:val="ac"/>
    <w:uiPriority w:val="99"/>
    <w:rsid w:val="000932A2"/>
    <w:rPr>
      <w:rFonts w:ascii="Times New Roman" w:eastAsia="Times New Roman" w:hAnsi="Times New Roman" w:cs="Times New Roman"/>
      <w:sz w:val="28"/>
      <w:szCs w:val="28"/>
      <w:lang w:eastAsia="ru-RU"/>
    </w:rPr>
  </w:style>
  <w:style w:type="character" w:styleId="ae">
    <w:name w:val="Hyperlink"/>
    <w:basedOn w:val="a0"/>
    <w:uiPriority w:val="99"/>
    <w:unhideWhenUsed/>
    <w:rsid w:val="00A70D23"/>
    <w:rPr>
      <w:color w:val="0000FF" w:themeColor="hyperlink"/>
      <w:u w:val="single"/>
    </w:rPr>
  </w:style>
  <w:style w:type="paragraph" w:styleId="af">
    <w:name w:val="annotation text"/>
    <w:basedOn w:val="a"/>
    <w:link w:val="af0"/>
    <w:uiPriority w:val="99"/>
    <w:semiHidden/>
    <w:unhideWhenUsed/>
    <w:rsid w:val="00E9097C"/>
    <w:pPr>
      <w:spacing w:line="240" w:lineRule="auto"/>
    </w:pPr>
    <w:rPr>
      <w:sz w:val="20"/>
      <w:szCs w:val="20"/>
    </w:rPr>
  </w:style>
  <w:style w:type="character" w:customStyle="1" w:styleId="af0">
    <w:name w:val="Текст примечания Знак"/>
    <w:basedOn w:val="a0"/>
    <w:link w:val="af"/>
    <w:uiPriority w:val="99"/>
    <w:semiHidden/>
    <w:rsid w:val="00E9097C"/>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3E0A9E"/>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3E0A9E"/>
    <w:rPr>
      <w:rFonts w:ascii="Segoe UI" w:eastAsia="Times New Roman" w:hAnsi="Segoe UI" w:cs="Segoe UI"/>
      <w:sz w:val="18"/>
      <w:szCs w:val="18"/>
      <w:lang w:eastAsia="ru-RU"/>
    </w:rPr>
  </w:style>
  <w:style w:type="paragraph" w:customStyle="1" w:styleId="af3">
    <w:name w:val="Прижатый влево"/>
    <w:basedOn w:val="a"/>
    <w:next w:val="a"/>
    <w:uiPriority w:val="99"/>
    <w:rsid w:val="00DE5748"/>
    <w:pPr>
      <w:autoSpaceDE w:val="0"/>
      <w:autoSpaceDN w:val="0"/>
      <w:adjustRightInd w:val="0"/>
      <w:spacing w:line="240" w:lineRule="auto"/>
      <w:ind w:firstLine="0"/>
      <w:jc w:val="left"/>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20578">
      <w:bodyDiv w:val="1"/>
      <w:marLeft w:val="0"/>
      <w:marRight w:val="0"/>
      <w:marTop w:val="0"/>
      <w:marBottom w:val="0"/>
      <w:divBdr>
        <w:top w:val="none" w:sz="0" w:space="0" w:color="auto"/>
        <w:left w:val="none" w:sz="0" w:space="0" w:color="auto"/>
        <w:bottom w:val="none" w:sz="0" w:space="0" w:color="auto"/>
        <w:right w:val="none" w:sz="0" w:space="0" w:color="auto"/>
      </w:divBdr>
    </w:div>
    <w:div w:id="674846769">
      <w:bodyDiv w:val="1"/>
      <w:marLeft w:val="0"/>
      <w:marRight w:val="0"/>
      <w:marTop w:val="0"/>
      <w:marBottom w:val="0"/>
      <w:divBdr>
        <w:top w:val="none" w:sz="0" w:space="0" w:color="auto"/>
        <w:left w:val="none" w:sz="0" w:space="0" w:color="auto"/>
        <w:bottom w:val="none" w:sz="0" w:space="0" w:color="auto"/>
        <w:right w:val="none" w:sz="0" w:space="0" w:color="auto"/>
      </w:divBdr>
    </w:div>
    <w:div w:id="696276956">
      <w:bodyDiv w:val="1"/>
      <w:marLeft w:val="0"/>
      <w:marRight w:val="0"/>
      <w:marTop w:val="0"/>
      <w:marBottom w:val="0"/>
      <w:divBdr>
        <w:top w:val="none" w:sz="0" w:space="0" w:color="auto"/>
        <w:left w:val="none" w:sz="0" w:space="0" w:color="auto"/>
        <w:bottom w:val="none" w:sz="0" w:space="0" w:color="auto"/>
        <w:right w:val="none" w:sz="0" w:space="0" w:color="auto"/>
      </w:divBdr>
    </w:div>
    <w:div w:id="1156531999">
      <w:bodyDiv w:val="1"/>
      <w:marLeft w:val="0"/>
      <w:marRight w:val="0"/>
      <w:marTop w:val="0"/>
      <w:marBottom w:val="0"/>
      <w:divBdr>
        <w:top w:val="none" w:sz="0" w:space="0" w:color="auto"/>
        <w:left w:val="none" w:sz="0" w:space="0" w:color="auto"/>
        <w:bottom w:val="none" w:sz="0" w:space="0" w:color="auto"/>
        <w:right w:val="none" w:sz="0" w:space="0" w:color="auto"/>
      </w:divBdr>
    </w:div>
    <w:div w:id="1267614444">
      <w:bodyDiv w:val="1"/>
      <w:marLeft w:val="0"/>
      <w:marRight w:val="0"/>
      <w:marTop w:val="0"/>
      <w:marBottom w:val="0"/>
      <w:divBdr>
        <w:top w:val="none" w:sz="0" w:space="0" w:color="auto"/>
        <w:left w:val="none" w:sz="0" w:space="0" w:color="auto"/>
        <w:bottom w:val="none" w:sz="0" w:space="0" w:color="auto"/>
        <w:right w:val="none" w:sz="0" w:space="0" w:color="auto"/>
      </w:divBdr>
    </w:div>
    <w:div w:id="1330674157">
      <w:bodyDiv w:val="1"/>
      <w:marLeft w:val="0"/>
      <w:marRight w:val="0"/>
      <w:marTop w:val="0"/>
      <w:marBottom w:val="0"/>
      <w:divBdr>
        <w:top w:val="none" w:sz="0" w:space="0" w:color="auto"/>
        <w:left w:val="none" w:sz="0" w:space="0" w:color="auto"/>
        <w:bottom w:val="none" w:sz="0" w:space="0" w:color="auto"/>
        <w:right w:val="none" w:sz="0" w:space="0" w:color="auto"/>
      </w:divBdr>
    </w:div>
    <w:div w:id="1661077908">
      <w:bodyDiv w:val="1"/>
      <w:marLeft w:val="0"/>
      <w:marRight w:val="0"/>
      <w:marTop w:val="0"/>
      <w:marBottom w:val="0"/>
      <w:divBdr>
        <w:top w:val="none" w:sz="0" w:space="0" w:color="auto"/>
        <w:left w:val="none" w:sz="0" w:space="0" w:color="auto"/>
        <w:bottom w:val="none" w:sz="0" w:space="0" w:color="auto"/>
        <w:right w:val="none" w:sz="0" w:space="0" w:color="auto"/>
      </w:divBdr>
    </w:div>
    <w:div w:id="196261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0A070-8FF1-4165-B3ED-E17E3A2D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347</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Островская Екатерина Валерьевна</cp:lastModifiedBy>
  <cp:revision>7</cp:revision>
  <cp:lastPrinted>2018-06-28T10:51:00Z</cp:lastPrinted>
  <dcterms:created xsi:type="dcterms:W3CDTF">2018-08-06T14:32:00Z</dcterms:created>
  <dcterms:modified xsi:type="dcterms:W3CDTF">2019-02-07T10:42:00Z</dcterms:modified>
</cp:coreProperties>
</file>