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7F38" w14:textId="77777777" w:rsidR="00B437E5" w:rsidRPr="00B437E5" w:rsidRDefault="00B437E5" w:rsidP="00B437E5">
      <w:pPr>
        <w:jc w:val="right"/>
        <w:rPr>
          <w:rFonts w:eastAsia="Calibri"/>
          <w:sz w:val="22"/>
          <w:szCs w:val="22"/>
          <w:lang w:eastAsia="en-US"/>
        </w:rPr>
      </w:pPr>
      <w:r w:rsidRPr="00B437E5">
        <w:rPr>
          <w:rFonts w:eastAsia="Calibri"/>
          <w:sz w:val="22"/>
          <w:szCs w:val="22"/>
          <w:lang w:eastAsia="en-US"/>
        </w:rPr>
        <w:t>Утверждаю:</w:t>
      </w:r>
    </w:p>
    <w:p w14:paraId="4149586B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>Начальник контрактной службы</w:t>
      </w:r>
    </w:p>
    <w:p w14:paraId="35D1C8E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ГАУЗ СО «Ирбитская ЦГБ»                   </w:t>
      </w:r>
    </w:p>
    <w:p w14:paraId="4C14289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3C6531CC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 Т.Н. Царегородцева</w:t>
      </w:r>
    </w:p>
    <w:p w14:paraId="113420E6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17DEDD77" w14:textId="77777777" w:rsidR="00B437E5" w:rsidRDefault="00B437E5" w:rsidP="00B437E5">
      <w:pPr>
        <w:jc w:val="right"/>
      </w:pPr>
    </w:p>
    <w:p w14:paraId="5BE2E3C3" w14:textId="77777777" w:rsidR="00296852" w:rsidRDefault="00B437E5" w:rsidP="00296852">
      <w:pPr>
        <w:jc w:val="center"/>
      </w:pPr>
      <w:r>
        <w:t xml:space="preserve"> </w:t>
      </w:r>
      <w:r w:rsidR="00296852" w:rsidRPr="00B437E5">
        <w:t>Описание предмета закупки</w:t>
      </w:r>
      <w:r>
        <w:t>.</w:t>
      </w:r>
    </w:p>
    <w:p w14:paraId="2A489F43" w14:textId="77777777" w:rsidR="00B437E5" w:rsidRDefault="00E7705C" w:rsidP="00296852">
      <w:pPr>
        <w:jc w:val="center"/>
      </w:pPr>
      <w:r>
        <w:t>Ремонт медицинского оборудования.</w:t>
      </w:r>
    </w:p>
    <w:p w14:paraId="3F1284A3" w14:textId="77777777" w:rsidR="00E7705C" w:rsidRPr="00B437E5" w:rsidRDefault="00E7705C" w:rsidP="00296852">
      <w:pPr>
        <w:jc w:val="center"/>
      </w:pPr>
    </w:p>
    <w:p w14:paraId="28854ADE" w14:textId="77777777" w:rsidR="00CF40F1" w:rsidRPr="00CF40F1" w:rsidRDefault="00CF40F1" w:rsidP="00CF40F1">
      <w:pPr>
        <w:suppressAutoHyphens w:val="0"/>
        <w:ind w:firstLine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1. Требования к наличию разрешительных документов</w:t>
      </w:r>
    </w:p>
    <w:p w14:paraId="1C95F793" w14:textId="77777777" w:rsidR="00CF40F1" w:rsidRPr="00CF40F1" w:rsidRDefault="00CF40F1" w:rsidP="00CF40F1">
      <w:pPr>
        <w:suppressAutoHyphens w:val="0"/>
        <w:ind w:left="-142" w:right="-1" w:firstLine="426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1.1. Наличие лицензии или выписки из реестра лицензий, содержащей сведения о действующей лицензии или копии акта лицензирующего органа о принятом решении (о предоставлении лицензии; о переоформлении лицензии; о возобновлении лицензии; о продлении срока действия указанной лицензии)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Федеральной службы по надзору в сфере здравоохранения  в соответствии с Постановлением Правительства Российской Федерации от 30 ноября 2021 г. N 2129 «о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 в части технического обслуживания групп медицинских изделий (кроме программного обеспечения, являющегося медицинским изделием) класса 2а потенциального риска применения (в соответствии с перечнем обслуживаемого оборудования, представленного в Техническом задании).</w:t>
      </w:r>
    </w:p>
    <w:p w14:paraId="40477C79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2. Исполнитель должен иметь штатных или внештатных специалистов по следующим видам медицинских изделий (МИ) согласно номенклатурной классификации медицинских изделий:</w:t>
      </w:r>
    </w:p>
    <w:tbl>
      <w:tblPr>
        <w:tblW w:w="1048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58"/>
        <w:gridCol w:w="1881"/>
        <w:gridCol w:w="1786"/>
        <w:gridCol w:w="5545"/>
      </w:tblGrid>
      <w:tr w:rsidR="00CF40F1" w:rsidRPr="00CF40F1" w14:paraId="5B9B68CF" w14:textId="77777777" w:rsidTr="00EA4640">
        <w:tc>
          <w:tcPr>
            <w:tcW w:w="0" w:type="auto"/>
            <w:shd w:val="clear" w:color="auto" w:fill="auto"/>
          </w:tcPr>
          <w:p w14:paraId="117EFF08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0F1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00A9DE9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0F1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89" w:type="dxa"/>
            <w:shd w:val="clear" w:color="auto" w:fill="auto"/>
          </w:tcPr>
          <w:p w14:paraId="4258E2D7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0F1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7" w:type="dxa"/>
            <w:shd w:val="clear" w:color="auto" w:fill="auto"/>
          </w:tcPr>
          <w:p w14:paraId="67031ADC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0F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5" w:type="dxa"/>
            <w:shd w:val="clear" w:color="auto" w:fill="auto"/>
          </w:tcPr>
          <w:p w14:paraId="7D2A5212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0F1">
              <w:rPr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CF40F1" w:rsidRPr="00CF40F1" w14:paraId="22FB1D9A" w14:textId="77777777" w:rsidTr="00EA4640">
        <w:tc>
          <w:tcPr>
            <w:tcW w:w="0" w:type="auto"/>
            <w:shd w:val="clear" w:color="auto" w:fill="auto"/>
          </w:tcPr>
          <w:p w14:paraId="7410B92B" w14:textId="77777777" w:rsidR="00CF40F1" w:rsidRPr="00CF40F1" w:rsidRDefault="00CF40F1" w:rsidP="00CF40F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CF40F1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9C9D02" w14:textId="77777777" w:rsidR="00CF40F1" w:rsidRPr="00CF40F1" w:rsidRDefault="00CF40F1" w:rsidP="00CF40F1">
            <w:pPr>
              <w:suppressAutoHyphens w:val="0"/>
              <w:ind w:right="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40F1">
              <w:rPr>
                <w:bCs/>
                <w:sz w:val="20"/>
                <w:szCs w:val="20"/>
                <w:lang w:eastAsia="ru-RU"/>
              </w:rPr>
              <w:t>179940</w:t>
            </w:r>
          </w:p>
        </w:tc>
        <w:tc>
          <w:tcPr>
            <w:tcW w:w="1889" w:type="dxa"/>
            <w:shd w:val="clear" w:color="auto" w:fill="auto"/>
          </w:tcPr>
          <w:p w14:paraId="53402F44" w14:textId="77777777" w:rsidR="00CF40F1" w:rsidRPr="00CF40F1" w:rsidRDefault="00CF40F1" w:rsidP="00CF40F1">
            <w:pPr>
              <w:suppressAutoHyphens w:val="0"/>
              <w:ind w:right="42"/>
              <w:rPr>
                <w:bCs/>
                <w:sz w:val="20"/>
                <w:szCs w:val="20"/>
                <w:lang w:eastAsia="ru-RU"/>
              </w:rPr>
            </w:pPr>
            <w:r w:rsidRPr="00CF40F1">
              <w:rPr>
                <w:bCs/>
                <w:sz w:val="20"/>
                <w:szCs w:val="20"/>
                <w:lang w:eastAsia="ru-RU"/>
              </w:rPr>
              <w:t xml:space="preserve">19. Эндоскопические медицинские изделия </w:t>
            </w:r>
          </w:p>
          <w:p w14:paraId="60621FDD" w14:textId="77777777" w:rsidR="00CF40F1" w:rsidRPr="00CF40F1" w:rsidRDefault="00CF40F1" w:rsidP="00CF40F1">
            <w:pPr>
              <w:suppressAutoHyphens w:val="0"/>
              <w:ind w:right="42"/>
              <w:rPr>
                <w:bCs/>
                <w:sz w:val="20"/>
                <w:szCs w:val="20"/>
                <w:lang w:eastAsia="ru-RU"/>
              </w:rPr>
            </w:pPr>
            <w:r w:rsidRPr="00CF40F1">
              <w:rPr>
                <w:bCs/>
                <w:sz w:val="20"/>
                <w:szCs w:val="20"/>
                <w:lang w:eastAsia="ru-RU"/>
              </w:rPr>
              <w:t xml:space="preserve"> 19.14. Эндоскопы</w:t>
            </w:r>
          </w:p>
        </w:tc>
        <w:tc>
          <w:tcPr>
            <w:tcW w:w="1417" w:type="dxa"/>
            <w:shd w:val="clear" w:color="auto" w:fill="auto"/>
          </w:tcPr>
          <w:p w14:paraId="2F6D4B29" w14:textId="77777777" w:rsidR="00CF40F1" w:rsidRPr="00CF40F1" w:rsidRDefault="00CF40F1" w:rsidP="00CF40F1">
            <w:pPr>
              <w:suppressAutoHyphens w:val="0"/>
              <w:ind w:right="42"/>
              <w:jc w:val="both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CF40F1">
              <w:rPr>
                <w:bCs/>
                <w:sz w:val="20"/>
                <w:szCs w:val="20"/>
                <w:lang w:eastAsia="ru-RU"/>
              </w:rPr>
              <w:t>Видеоколоноскоп</w:t>
            </w:r>
            <w:proofErr w:type="spellEnd"/>
            <w:r w:rsidRPr="00CF40F1">
              <w:rPr>
                <w:bCs/>
                <w:sz w:val="20"/>
                <w:szCs w:val="20"/>
                <w:lang w:eastAsia="ru-RU"/>
              </w:rPr>
              <w:t xml:space="preserve"> гибкий, многоразового использования</w:t>
            </w:r>
          </w:p>
        </w:tc>
        <w:tc>
          <w:tcPr>
            <w:tcW w:w="5825" w:type="dxa"/>
            <w:shd w:val="clear" w:color="auto" w:fill="auto"/>
          </w:tcPr>
          <w:p w14:paraId="0EE930A0" w14:textId="77777777" w:rsidR="00CF40F1" w:rsidRPr="00CF40F1" w:rsidRDefault="00CF40F1" w:rsidP="00CF40F1">
            <w:pPr>
              <w:suppressAutoHyphens w:val="0"/>
              <w:ind w:right="42"/>
              <w:jc w:val="both"/>
              <w:rPr>
                <w:bCs/>
                <w:sz w:val="20"/>
                <w:szCs w:val="20"/>
                <w:lang w:eastAsia="ru-RU"/>
              </w:rPr>
            </w:pPr>
            <w:r w:rsidRPr="00CF40F1">
              <w:rPr>
                <w:bCs/>
                <w:sz w:val="20"/>
                <w:szCs w:val="20"/>
                <w:lang w:eastAsia="ru-RU"/>
              </w:rPr>
              <w:t xml:space="preserve">Эндоскоп с гибкой вставкой, предназначенный для визуального обследования и лечения всей толстой кишки [нижнего отдела желудочно-кишечного тракта (ЖКТ)]. Изделие вводится через анальное отверстие во время колоноскопии. Анатомические изображения передаются видеосистемой с чипом прибора с зарядовой связью на дистальном конце эндоскопа на монитор для просмотра. Это изделие обычно используется для обследования выстилки толстой кишки или оценки изменений ритмов дефекации, рака толстой кишки, полипов, </w:t>
            </w:r>
            <w:proofErr w:type="spellStart"/>
            <w:r w:rsidRPr="00CF40F1">
              <w:rPr>
                <w:bCs/>
                <w:sz w:val="20"/>
                <w:szCs w:val="20"/>
                <w:lang w:eastAsia="ru-RU"/>
              </w:rPr>
              <w:t>дивертикулеза</w:t>
            </w:r>
            <w:proofErr w:type="spellEnd"/>
            <w:r w:rsidRPr="00CF40F1">
              <w:rPr>
                <w:bCs/>
                <w:sz w:val="20"/>
                <w:szCs w:val="20"/>
                <w:lang w:eastAsia="ru-RU"/>
              </w:rPr>
              <w:t>, скрытой или видимой крови в стуле или анемии неясной этиологии. Это изделие, пригодное для многоразового использования.</w:t>
            </w:r>
          </w:p>
        </w:tc>
      </w:tr>
    </w:tbl>
    <w:p w14:paraId="16AB6E9F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2.1. Квалификация специалистов, согласно ГОСТ Р 58451-2019 «Изделия медицинские. Обслуживание техническое. Основные положения», должна быть подтверждена удостоверяющими документами (дипломы, сертификаты, и т.п) по всему перечню п.7.</w:t>
      </w:r>
    </w:p>
    <w:p w14:paraId="49BF7CCA" w14:textId="0F6BDB28" w:rsidR="00CF40F1" w:rsidRPr="00CF40F1" w:rsidRDefault="00CF40F1" w:rsidP="00CF40F1">
      <w:pPr>
        <w:suppressAutoHyphens w:val="0"/>
        <w:ind w:right="-1" w:firstLine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2.2. У исполнителя должна быть внедрена система менеджмента качества в соответствии с ГОСТ ISO 9001</w:t>
      </w:r>
      <w:r w:rsidR="001961F3" w:rsidRPr="001961F3">
        <w:rPr>
          <w:sz w:val="20"/>
          <w:szCs w:val="20"/>
          <w:lang w:eastAsia="ru-RU"/>
        </w:rPr>
        <w:t>-2015</w:t>
      </w:r>
      <w:r w:rsidRPr="00CF40F1">
        <w:rPr>
          <w:sz w:val="20"/>
          <w:szCs w:val="20"/>
          <w:lang w:eastAsia="ru-RU"/>
        </w:rPr>
        <w:t xml:space="preserve"> или ГОСТ ISO 13485</w:t>
      </w:r>
      <w:r w:rsidR="001961F3" w:rsidRPr="001961F3">
        <w:rPr>
          <w:sz w:val="20"/>
          <w:szCs w:val="20"/>
          <w:lang w:eastAsia="ru-RU"/>
        </w:rPr>
        <w:t>-2017</w:t>
      </w:r>
      <w:r w:rsidRPr="00CF40F1">
        <w:rPr>
          <w:sz w:val="20"/>
          <w:szCs w:val="20"/>
          <w:lang w:eastAsia="ru-RU"/>
        </w:rPr>
        <w:t>.</w:t>
      </w:r>
    </w:p>
    <w:p w14:paraId="52231F9B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3.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ремонту МИ, указанного в перечне п.7.</w:t>
      </w:r>
    </w:p>
    <w:p w14:paraId="28806F6D" w14:textId="74F20A98" w:rsidR="00CF40F1" w:rsidRPr="00CF40F1" w:rsidRDefault="00CF40F1" w:rsidP="00CF40F1">
      <w:pPr>
        <w:suppressAutoHyphens w:val="0"/>
        <w:autoSpaceDE w:val="0"/>
        <w:autoSpaceDN w:val="0"/>
        <w:adjustRightInd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3.1. Средства измерений должны быть </w:t>
      </w:r>
      <w:proofErr w:type="spellStart"/>
      <w:r w:rsidRPr="00CF40F1">
        <w:rPr>
          <w:sz w:val="20"/>
          <w:szCs w:val="20"/>
          <w:lang w:eastAsia="ru-RU"/>
        </w:rPr>
        <w:t>поверены</w:t>
      </w:r>
      <w:proofErr w:type="spellEnd"/>
      <w:r w:rsidRPr="00CF40F1">
        <w:rPr>
          <w:sz w:val="20"/>
          <w:szCs w:val="20"/>
          <w:lang w:eastAsia="ru-RU"/>
        </w:rPr>
        <w:t>, а технологическое испытательное оборудование, требующее аттестации, должно быть аттестовано по ГОСТ Р 8.568</w:t>
      </w:r>
      <w:r w:rsidR="001961F3" w:rsidRPr="001961F3">
        <w:rPr>
          <w:sz w:val="20"/>
          <w:szCs w:val="20"/>
          <w:lang w:eastAsia="ru-RU"/>
        </w:rPr>
        <w:t>-2017</w:t>
      </w:r>
    </w:p>
    <w:p w14:paraId="623F7493" w14:textId="77777777" w:rsidR="00CF40F1" w:rsidRPr="00CF40F1" w:rsidRDefault="00CF40F1" w:rsidP="00CF40F1">
      <w:pPr>
        <w:suppressAutoHyphens w:val="0"/>
        <w:autoSpaceDE w:val="0"/>
        <w:autoSpaceDN w:val="0"/>
        <w:adjustRightInd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4. Исполнитель должен иметь полный комплект действующей нормативной, технической и эксплуатационной документации, необходимой для проведения </w:t>
      </w:r>
      <w:proofErr w:type="gramStart"/>
      <w:r w:rsidRPr="00CF40F1">
        <w:rPr>
          <w:sz w:val="20"/>
          <w:szCs w:val="20"/>
          <w:lang w:eastAsia="ru-RU"/>
        </w:rPr>
        <w:t>ремонта МИ</w:t>
      </w:r>
      <w:proofErr w:type="gramEnd"/>
      <w:r w:rsidRPr="00CF40F1">
        <w:rPr>
          <w:sz w:val="20"/>
          <w:szCs w:val="20"/>
          <w:lang w:eastAsia="ru-RU"/>
        </w:rPr>
        <w:t xml:space="preserve"> указанного в перечне п.7.</w:t>
      </w:r>
    </w:p>
    <w:p w14:paraId="37680C49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5. Все работы по ремонту МИ должны проводиться согласно действующей технической и эксплуатационной документации изготовителя.</w:t>
      </w:r>
    </w:p>
    <w:p w14:paraId="2DAC210A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5.1. При проведении ремонта допускается применение только запасных частей, в том числе </w:t>
      </w:r>
      <w:proofErr w:type="gramStart"/>
      <w:r w:rsidRPr="00CF40F1">
        <w:rPr>
          <w:sz w:val="20"/>
          <w:szCs w:val="20"/>
          <w:lang w:eastAsia="ru-RU"/>
        </w:rPr>
        <w:t>расходных материалов</w:t>
      </w:r>
      <w:proofErr w:type="gramEnd"/>
      <w:r w:rsidRPr="00CF40F1">
        <w:rPr>
          <w:sz w:val="20"/>
          <w:szCs w:val="20"/>
          <w:lang w:eastAsia="ru-RU"/>
        </w:rPr>
        <w:t xml:space="preserve"> предусмотренных действующей технической и эксплуатационной документацией изготовителя.</w:t>
      </w:r>
    </w:p>
    <w:p w14:paraId="3F7C5247" w14:textId="77777777" w:rsidR="00CF40F1" w:rsidRPr="00CF40F1" w:rsidRDefault="00CF40F1" w:rsidP="00CF40F1">
      <w:pPr>
        <w:tabs>
          <w:tab w:val="left" w:pos="426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ab/>
        <w:t xml:space="preserve">В связи с конструктивными особенностями и техническими характеристиками оборудования при </w:t>
      </w:r>
      <w:proofErr w:type="gramStart"/>
      <w:r w:rsidRPr="00CF40F1">
        <w:rPr>
          <w:sz w:val="20"/>
          <w:szCs w:val="20"/>
          <w:lang w:eastAsia="ru-RU"/>
        </w:rPr>
        <w:t>выполнении  ремонта</w:t>
      </w:r>
      <w:proofErr w:type="gramEnd"/>
      <w:r w:rsidRPr="00CF40F1">
        <w:rPr>
          <w:sz w:val="20"/>
          <w:szCs w:val="20"/>
          <w:lang w:eastAsia="ru-RU"/>
        </w:rPr>
        <w:t xml:space="preserve"> должны использоваться детали и запасные части торгового знака «Olympus» (или эквивалент*)</w:t>
      </w:r>
    </w:p>
    <w:p w14:paraId="1F6D38E0" w14:textId="77777777" w:rsidR="00CF40F1" w:rsidRPr="00CF40F1" w:rsidRDefault="00CF40F1" w:rsidP="00CF40F1">
      <w:pPr>
        <w:shd w:val="clear" w:color="auto" w:fill="FFFFFF"/>
        <w:suppressAutoHyphens w:val="0"/>
        <w:ind w:right="-1"/>
        <w:jc w:val="both"/>
        <w:rPr>
          <w:i/>
          <w:iCs/>
          <w:color w:val="000000"/>
          <w:sz w:val="20"/>
          <w:szCs w:val="20"/>
          <w:lang w:eastAsia="ru-RU"/>
        </w:rPr>
      </w:pPr>
      <w:r w:rsidRPr="00CF40F1">
        <w:rPr>
          <w:i/>
          <w:iCs/>
          <w:color w:val="000000"/>
          <w:sz w:val="20"/>
          <w:szCs w:val="20"/>
          <w:lang w:eastAsia="ru-RU"/>
        </w:rPr>
        <w:t>*В соответствии с пунктом 11 Постановления Правительства Российской Федерации №552 от 01 апреля 2022 года (редакция Постановлением Правительства Российской Федерации №2525 от 29 декабря 2022 года) эквивалент допускается при соблюдении всех нижеперечисленных требований:</w:t>
      </w:r>
    </w:p>
    <w:p w14:paraId="3C2B9D00" w14:textId="77777777" w:rsidR="00CF40F1" w:rsidRPr="00CF40F1" w:rsidRDefault="00CF40F1" w:rsidP="00CF40F1">
      <w:pPr>
        <w:shd w:val="clear" w:color="auto" w:fill="FFFFFF"/>
        <w:suppressAutoHyphens w:val="0"/>
        <w:ind w:right="-1"/>
        <w:jc w:val="both"/>
        <w:rPr>
          <w:color w:val="000000"/>
          <w:sz w:val="20"/>
          <w:szCs w:val="20"/>
          <w:lang w:eastAsia="ru-RU"/>
        </w:rPr>
      </w:pPr>
      <w:r w:rsidRPr="00CF40F1">
        <w:rPr>
          <w:i/>
          <w:iCs/>
          <w:color w:val="000000"/>
          <w:sz w:val="20"/>
          <w:szCs w:val="20"/>
          <w:lang w:eastAsia="ru-RU"/>
        </w:rPr>
        <w:t>1. Безопасность совместного использования подтверждена техническими и токсикологическими испытаниями производителя таких неоригинальных комплектующих, включая его письмо-согласие с подтверждением его ответственности за вред, причиненный медицинскому изделию, прочему оборудованию, персоналу, эксплуатирующему медицинское изделие, и пациентам, вследствие конструктивных недостатков комплектующих и принадлежностей;</w:t>
      </w:r>
    </w:p>
    <w:p w14:paraId="7032E89B" w14:textId="77777777" w:rsidR="00CF40F1" w:rsidRPr="00CF40F1" w:rsidRDefault="00CF40F1" w:rsidP="00CF40F1">
      <w:pPr>
        <w:shd w:val="clear" w:color="auto" w:fill="FFFFFF"/>
        <w:suppressAutoHyphens w:val="0"/>
        <w:ind w:right="-1"/>
        <w:jc w:val="both"/>
        <w:rPr>
          <w:color w:val="000000"/>
          <w:sz w:val="20"/>
          <w:szCs w:val="20"/>
          <w:lang w:eastAsia="ru-RU"/>
        </w:rPr>
      </w:pPr>
      <w:r w:rsidRPr="00CF40F1">
        <w:rPr>
          <w:i/>
          <w:iCs/>
          <w:color w:val="000000"/>
          <w:sz w:val="20"/>
          <w:szCs w:val="20"/>
          <w:lang w:eastAsia="ru-RU"/>
        </w:rPr>
        <w:t>2. Сведения о проведенных испытаниях с подтверждением безопасности использования таких комплектующих и принадлежностей опубликованы на официальном сайте Всероссийского научно-исследовательского и испытательного института медицинской техники (ВНИИИМТ) – </w:t>
      </w:r>
      <w:hyperlink r:id="rId6" w:tgtFrame="_blank" w:history="1">
        <w:r w:rsidRPr="00CF40F1">
          <w:rPr>
            <w:i/>
            <w:iCs/>
            <w:color w:val="000000"/>
            <w:sz w:val="20"/>
            <w:szCs w:val="20"/>
            <w:u w:val="single"/>
            <w:lang w:eastAsia="ru-RU"/>
          </w:rPr>
          <w:t>vniiimt.ru</w:t>
        </w:r>
      </w:hyperlink>
      <w:r w:rsidRPr="00CF40F1">
        <w:rPr>
          <w:i/>
          <w:iCs/>
          <w:color w:val="000000"/>
          <w:sz w:val="20"/>
          <w:szCs w:val="20"/>
          <w:lang w:eastAsia="ru-RU"/>
        </w:rPr>
        <w:t>;</w:t>
      </w:r>
    </w:p>
    <w:p w14:paraId="6C1279D1" w14:textId="77777777" w:rsidR="00CF40F1" w:rsidRPr="00CF40F1" w:rsidRDefault="00CF40F1" w:rsidP="00CF40F1">
      <w:pPr>
        <w:shd w:val="clear" w:color="auto" w:fill="FFFFFF"/>
        <w:suppressAutoHyphens w:val="0"/>
        <w:ind w:right="-1"/>
        <w:jc w:val="both"/>
        <w:rPr>
          <w:color w:val="000000"/>
          <w:sz w:val="20"/>
          <w:szCs w:val="20"/>
          <w:lang w:eastAsia="ru-RU"/>
        </w:rPr>
      </w:pPr>
      <w:r w:rsidRPr="00CF40F1">
        <w:rPr>
          <w:i/>
          <w:iCs/>
          <w:color w:val="000000"/>
          <w:sz w:val="20"/>
          <w:szCs w:val="20"/>
          <w:lang w:eastAsia="ru-RU"/>
        </w:rPr>
        <w:t>3. По результатам проведенных технических и токсикологических испытаний ВНИИИМТ таким производителем оформлено Заключение о возможности использования таких комплектующих или принадлежностей.</w:t>
      </w:r>
    </w:p>
    <w:p w14:paraId="1BD83C57" w14:textId="77777777" w:rsidR="00CF40F1" w:rsidRPr="00CF40F1" w:rsidRDefault="00CF40F1" w:rsidP="00CF40F1">
      <w:pPr>
        <w:tabs>
          <w:tab w:val="left" w:pos="426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CF40F1">
        <w:rPr>
          <w:i/>
          <w:iCs/>
          <w:color w:val="000000"/>
          <w:sz w:val="20"/>
          <w:szCs w:val="20"/>
          <w:lang w:eastAsia="ru-RU"/>
        </w:rPr>
        <w:lastRenderedPageBreak/>
        <w:t>Документальное подтверждение о совместимости эквивалентов Заказчику предоставляет Исполнитель (участник закупки).</w:t>
      </w:r>
      <w:r w:rsidRPr="00CF40F1">
        <w:rPr>
          <w:sz w:val="20"/>
          <w:szCs w:val="20"/>
          <w:lang w:eastAsia="ru-RU"/>
        </w:rPr>
        <w:t xml:space="preserve">  </w:t>
      </w:r>
    </w:p>
    <w:p w14:paraId="518FA15B" w14:textId="77777777" w:rsidR="00CF40F1" w:rsidRPr="00CF40F1" w:rsidRDefault="00CF40F1" w:rsidP="00CF40F1">
      <w:pPr>
        <w:tabs>
          <w:tab w:val="left" w:pos="426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      5.2. Запасные части, согласно ГОСТ Р 58451-2019 «Изделия медицинские. Обслуживание техническое. Основные положения», должны быть приняты и проверены на соответствие всем требованиям до их установки. </w:t>
      </w:r>
    </w:p>
    <w:p w14:paraId="0E2E1267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5.3. Поставляемые запасные части должны находиться на гарантии изготовителя и/или поставщика.</w:t>
      </w:r>
    </w:p>
    <w:p w14:paraId="1884B3F1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5.4. Перечень запасных частей и расходных материалов для ремонта </w:t>
      </w:r>
      <w:proofErr w:type="spellStart"/>
      <w:r w:rsidRPr="00CF40F1">
        <w:rPr>
          <w:sz w:val="20"/>
          <w:szCs w:val="20"/>
          <w:lang w:eastAsia="ru-RU"/>
        </w:rPr>
        <w:t>колоновидеоскопа</w:t>
      </w:r>
      <w:proofErr w:type="spellEnd"/>
      <w:r w:rsidRPr="00CF40F1">
        <w:rPr>
          <w:sz w:val="20"/>
          <w:szCs w:val="20"/>
          <w:lang w:eastAsia="ru-RU"/>
        </w:rPr>
        <w:t xml:space="preserve"> CF-H170L зав.№ 2238587: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943"/>
        <w:gridCol w:w="7383"/>
        <w:gridCol w:w="697"/>
      </w:tblGrid>
      <w:tr w:rsidR="00CF40F1" w:rsidRPr="00CF40F1" w14:paraId="3D6081F5" w14:textId="77777777" w:rsidTr="00EA4640">
        <w:tc>
          <w:tcPr>
            <w:tcW w:w="433" w:type="dxa"/>
            <w:shd w:val="clear" w:color="auto" w:fill="auto"/>
            <w:vAlign w:val="center"/>
          </w:tcPr>
          <w:p w14:paraId="35F7D2B5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F5B3F65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6A9BF721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Характеристики запасных частей и расходных материалов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64AD7D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CF40F1" w:rsidRPr="00CF40F1" w14:paraId="1E697164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3A665D0F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40CE61D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КОЛЬЦО ЗАЩИТНИКА</w:t>
            </w:r>
          </w:p>
        </w:tc>
        <w:tc>
          <w:tcPr>
            <w:tcW w:w="7383" w:type="dxa"/>
            <w:shd w:val="clear" w:color="auto" w:fill="auto"/>
          </w:tcPr>
          <w:p w14:paraId="7DE49BF5" w14:textId="77777777" w:rsidR="00CF40F1" w:rsidRPr="00CF40F1" w:rsidRDefault="00CF40F1" w:rsidP="00CF40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F40F1">
              <w:rPr>
                <w:color w:val="000000"/>
                <w:sz w:val="20"/>
                <w:szCs w:val="20"/>
                <w:lang w:eastAsia="ru-RU"/>
              </w:rPr>
              <w:t>1.Материал: резина.</w:t>
            </w:r>
            <w:r w:rsidRPr="00CF40F1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F40F1">
              <w:rPr>
                <w:color w:val="000000"/>
                <w:sz w:val="20"/>
                <w:szCs w:val="20"/>
                <w:lang w:eastAsia="ru-RU"/>
              </w:rPr>
              <w:t>2.Внешний</w:t>
            </w:r>
            <w:proofErr w:type="gramEnd"/>
            <w:r w:rsidRPr="00CF40F1">
              <w:rPr>
                <w:color w:val="000000"/>
                <w:sz w:val="20"/>
                <w:szCs w:val="20"/>
                <w:lang w:eastAsia="ru-RU"/>
              </w:rPr>
              <w:t xml:space="preserve"> диаметр: 25мм.</w:t>
            </w:r>
            <w:r w:rsidRPr="00CF40F1">
              <w:rPr>
                <w:color w:val="000000"/>
                <w:sz w:val="20"/>
                <w:szCs w:val="20"/>
                <w:lang w:eastAsia="ru-RU"/>
              </w:rPr>
              <w:br/>
              <w:t>3.</w:t>
            </w:r>
            <w:r w:rsidRPr="00CF40F1">
              <w:rPr>
                <w:sz w:val="20"/>
                <w:szCs w:val="20"/>
                <w:lang w:eastAsia="ru-RU"/>
              </w:rPr>
              <w:t xml:space="preserve"> Функциональная совместимость с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колоновидеоскопом</w:t>
            </w:r>
            <w:proofErr w:type="spellEnd"/>
            <w:r w:rsidRPr="00CF40F1">
              <w:rPr>
                <w:sz w:val="20"/>
                <w:szCs w:val="20"/>
                <w:lang w:eastAsia="ru-RU"/>
              </w:rPr>
              <w:t xml:space="preserve"> CF-H170L, имеющимся у Заказчика.</w:t>
            </w:r>
            <w:r w:rsidRPr="00CF40F1">
              <w:rPr>
                <w:color w:val="000000"/>
                <w:sz w:val="20"/>
                <w:szCs w:val="20"/>
                <w:lang w:eastAsia="ru-RU"/>
              </w:rPr>
              <w:br/>
              <w:t>4.Производителем установлено кольцо защитника GR458000.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3FF366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CF40F1" w:rsidRPr="00CF40F1" w14:paraId="0F96593B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4E2FBAEE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8231FBE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СТОПОР СОПЛА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685895A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1.Пластиковый цилиндр. Закрывает посадочное место штифта сопла. </w:t>
            </w:r>
          </w:p>
          <w:p w14:paraId="1BF3068F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2.Диаметр: 0,5мм. </w:t>
            </w:r>
          </w:p>
          <w:p w14:paraId="554F4CA7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3. Функциональная совместимость с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колоновидеоскопом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CF-H170L, имеющимся у Заказчика.</w:t>
            </w:r>
          </w:p>
          <w:p w14:paraId="5E3C7F0E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4.Производителем установлен стопор сопла GR479200.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E31480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CF40F1" w:rsidRPr="00CF40F1" w14:paraId="7DA3945D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15E9E109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6ADD60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ФИКСАТОР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6BB942D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1.Пластиковый </w:t>
            </w:r>
            <w:proofErr w:type="spellStart"/>
            <w:proofErr w:type="gramStart"/>
            <w:r w:rsidRPr="00CF40F1">
              <w:rPr>
                <w:rFonts w:eastAsia="Calibri"/>
                <w:sz w:val="20"/>
                <w:szCs w:val="20"/>
                <w:lang w:eastAsia="en-US"/>
              </w:rPr>
              <w:t>цилиндр.Фиксирует</w:t>
            </w:r>
            <w:proofErr w:type="spellEnd"/>
            <w:proofErr w:type="gram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С-крышку.</w:t>
            </w:r>
          </w:p>
          <w:p w14:paraId="25305632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2.Диаметр: 0,5мм.  </w:t>
            </w:r>
          </w:p>
          <w:p w14:paraId="4A677975" w14:textId="77777777" w:rsidR="00CF40F1" w:rsidRPr="00CF40F1" w:rsidRDefault="00CF40F1" w:rsidP="00CF40F1">
            <w:pPr>
              <w:tabs>
                <w:tab w:val="left" w:pos="175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3. Функциональная совместимость с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колоновидеоскопом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CF-H170L, имеющимся у Заказчика.</w:t>
            </w:r>
          </w:p>
          <w:p w14:paraId="7EAB474E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4.Производителем установлен фиксатор GS244900.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DB7852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CF40F1" w:rsidRPr="00CF40F1" w14:paraId="093358BA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077FA4EE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6E6FCBA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КОЛПАЧОК ДИСТАЛЬНОЙ ГОЛОВКИ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67A433D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1.Пластиковый цилиндр специальной формы.</w:t>
            </w:r>
          </w:p>
          <w:p w14:paraId="3B724291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2.Диаметр: 12,8мм.</w:t>
            </w:r>
          </w:p>
          <w:p w14:paraId="2970927D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3.Диаметр отверстия для ввода щипцов: 3,7мм.</w:t>
            </w:r>
          </w:p>
          <w:p w14:paraId="5EB088C5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4.Два установочных места для световодов подсветки.</w:t>
            </w:r>
          </w:p>
          <w:p w14:paraId="357BD2B8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5.Установочное место для ПЗС-матрицы.</w:t>
            </w:r>
          </w:p>
          <w:p w14:paraId="6A4FBEEC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6.Установочное место для сопла.</w:t>
            </w:r>
          </w:p>
          <w:p w14:paraId="105C5B06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7.Цвет покрытия колпачка дистальной головки: черный.</w:t>
            </w:r>
          </w:p>
          <w:p w14:paraId="421CAF40" w14:textId="77777777" w:rsidR="00CF40F1" w:rsidRPr="00CF40F1" w:rsidRDefault="00CF40F1" w:rsidP="00CF40F1">
            <w:pPr>
              <w:tabs>
                <w:tab w:val="left" w:pos="176"/>
              </w:tabs>
              <w:suppressAutoHyphens w:val="0"/>
              <w:ind w:right="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совместимость с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колоновидеоскопом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CF-H170L, имеющимся у Заказчика.</w:t>
            </w:r>
          </w:p>
          <w:p w14:paraId="617BFB52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9.Производителем установлен колпачок дистальной головки RC075000.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656728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CF40F1" w:rsidRPr="00CF40F1" w14:paraId="7306B88A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11DFA054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B16784D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А-РЕЗИНА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38120E3F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1.Внешний диаметр имеет две ступени: 10,8/12мм.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F40F1">
              <w:rPr>
                <w:rFonts w:eastAsia="Calibri"/>
                <w:sz w:val="20"/>
                <w:szCs w:val="20"/>
                <w:lang w:eastAsia="en-US"/>
              </w:rPr>
              <w:t>2.Длина</w:t>
            </w:r>
            <w:proofErr w:type="gramEnd"/>
            <w:r w:rsidRPr="00CF40F1">
              <w:rPr>
                <w:rFonts w:eastAsia="Calibri"/>
                <w:sz w:val="20"/>
                <w:szCs w:val="20"/>
                <w:lang w:eastAsia="en-US"/>
              </w:rPr>
              <w:t>: 145мм.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  <w:t xml:space="preserve">3.Материал: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резина+полимер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  <w:t xml:space="preserve">4.Функциональная совместимость с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колоновидеоскопом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CF-H170L, имеющимся у Заказчика.</w:t>
            </w:r>
          </w:p>
          <w:p w14:paraId="27B94C6C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5.Производителем установлена А-резина RC075600.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B5944B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CF40F1" w:rsidRPr="00CF40F1" w14:paraId="36311D8F" w14:textId="77777777" w:rsidTr="00EA4640">
        <w:trPr>
          <w:trHeight w:val="509"/>
        </w:trPr>
        <w:tc>
          <w:tcPr>
            <w:tcW w:w="433" w:type="dxa"/>
            <w:shd w:val="clear" w:color="auto" w:fill="auto"/>
            <w:vAlign w:val="center"/>
          </w:tcPr>
          <w:p w14:paraId="63E28848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4931FA1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СОПЛО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B31256E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1.Внешний диаметр: 1,6мм.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F40F1">
              <w:rPr>
                <w:rFonts w:eastAsia="Calibri"/>
                <w:sz w:val="20"/>
                <w:szCs w:val="20"/>
                <w:lang w:eastAsia="en-US"/>
              </w:rPr>
              <w:t>2.Длина</w:t>
            </w:r>
            <w:proofErr w:type="gramEnd"/>
            <w:r w:rsidRPr="00CF40F1">
              <w:rPr>
                <w:rFonts w:eastAsia="Calibri"/>
                <w:sz w:val="20"/>
                <w:szCs w:val="20"/>
                <w:lang w:eastAsia="en-US"/>
              </w:rPr>
              <w:t>: 4,7мм.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  <w:t>3.Материал: сталь с керамическим покрытием.</w:t>
            </w:r>
            <w:r w:rsidRPr="00CF40F1">
              <w:rPr>
                <w:rFonts w:eastAsia="Calibri"/>
                <w:sz w:val="20"/>
                <w:szCs w:val="20"/>
                <w:lang w:eastAsia="en-US"/>
              </w:rPr>
              <w:br/>
              <w:t xml:space="preserve">4.Функциональная совместимость с </w:t>
            </w:r>
            <w:proofErr w:type="spellStart"/>
            <w:r w:rsidRPr="00CF40F1">
              <w:rPr>
                <w:rFonts w:eastAsia="Calibri"/>
                <w:sz w:val="20"/>
                <w:szCs w:val="20"/>
                <w:lang w:eastAsia="en-US"/>
              </w:rPr>
              <w:t>колоновидеоскопом</w:t>
            </w:r>
            <w:proofErr w:type="spellEnd"/>
            <w:r w:rsidRPr="00CF40F1">
              <w:rPr>
                <w:rFonts w:eastAsia="Calibri"/>
                <w:sz w:val="20"/>
                <w:szCs w:val="20"/>
                <w:lang w:eastAsia="en-US"/>
              </w:rPr>
              <w:t xml:space="preserve"> CF-H170L, имеющимся у Заказчика.</w:t>
            </w:r>
          </w:p>
          <w:p w14:paraId="47759A71" w14:textId="77777777" w:rsidR="00CF40F1" w:rsidRPr="00CF40F1" w:rsidRDefault="00CF40F1" w:rsidP="00CF40F1">
            <w:pPr>
              <w:suppressAutoHyphens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40F1">
              <w:rPr>
                <w:rFonts w:eastAsia="Calibri"/>
                <w:sz w:val="20"/>
                <w:szCs w:val="20"/>
                <w:lang w:eastAsia="en-US"/>
              </w:rPr>
              <w:t>5.Производителем установлено сопло RU266700.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B2C4B6" w14:textId="77777777" w:rsidR="00CF40F1" w:rsidRPr="00CF40F1" w:rsidRDefault="00CF40F1" w:rsidP="00CF40F1">
            <w:pPr>
              <w:suppressAutoHyphens w:val="0"/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14:paraId="1547CD92" w14:textId="77777777" w:rsidR="00CF40F1" w:rsidRPr="00CF40F1" w:rsidRDefault="00CF40F1" w:rsidP="00CF40F1">
      <w:pPr>
        <w:suppressAutoHyphens w:val="0"/>
        <w:ind w:firstLine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5.5. Перечень выполняемых работ для ремонта </w:t>
      </w:r>
      <w:proofErr w:type="spellStart"/>
      <w:r w:rsidRPr="00CF40F1">
        <w:rPr>
          <w:sz w:val="20"/>
          <w:szCs w:val="20"/>
          <w:lang w:eastAsia="ru-RU"/>
        </w:rPr>
        <w:t>колоновидеоскопа</w:t>
      </w:r>
      <w:proofErr w:type="spellEnd"/>
      <w:r w:rsidRPr="00CF40F1">
        <w:rPr>
          <w:sz w:val="20"/>
          <w:szCs w:val="20"/>
          <w:lang w:eastAsia="ru-RU"/>
        </w:rPr>
        <w:t xml:space="preserve"> CF-H170L зав.№ 2238587:</w:t>
      </w:r>
    </w:p>
    <w:p w14:paraId="7EA60C9D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Разборка </w:t>
      </w:r>
      <w:proofErr w:type="spellStart"/>
      <w:r w:rsidRPr="00CF40F1">
        <w:rPr>
          <w:sz w:val="20"/>
          <w:szCs w:val="20"/>
          <w:lang w:eastAsia="ru-RU"/>
        </w:rPr>
        <w:t>колоновидеоскопа</w:t>
      </w:r>
      <w:proofErr w:type="spellEnd"/>
      <w:r w:rsidRPr="00CF40F1">
        <w:rPr>
          <w:sz w:val="20"/>
          <w:szCs w:val="20"/>
          <w:lang w:eastAsia="ru-RU"/>
        </w:rPr>
        <w:t xml:space="preserve"> с последующей сушкой;</w:t>
      </w:r>
    </w:p>
    <w:p w14:paraId="433ED42D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кольца защитника;</w:t>
      </w:r>
    </w:p>
    <w:p w14:paraId="5C5EA6FA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стопора сопла;</w:t>
      </w:r>
    </w:p>
    <w:p w14:paraId="36389C7D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фиксаторов;</w:t>
      </w:r>
    </w:p>
    <w:p w14:paraId="34D82ED1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колпачка дистальной головки;</w:t>
      </w:r>
    </w:p>
    <w:p w14:paraId="6488E5BC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сопла;</w:t>
      </w:r>
    </w:p>
    <w:p w14:paraId="72E24705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Замена и установка А-резины;</w:t>
      </w:r>
    </w:p>
    <w:p w14:paraId="6DCB6FF8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Проклейка бандажей А-резины;</w:t>
      </w:r>
    </w:p>
    <w:p w14:paraId="30935F53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 xml:space="preserve">Сборка </w:t>
      </w:r>
      <w:proofErr w:type="spellStart"/>
      <w:r w:rsidRPr="00CF40F1">
        <w:rPr>
          <w:sz w:val="20"/>
          <w:szCs w:val="20"/>
          <w:lang w:eastAsia="ru-RU"/>
        </w:rPr>
        <w:t>колоновидеоскопа</w:t>
      </w:r>
      <w:proofErr w:type="spellEnd"/>
      <w:r w:rsidRPr="00CF40F1">
        <w:rPr>
          <w:sz w:val="20"/>
          <w:szCs w:val="20"/>
          <w:lang w:eastAsia="ru-RU"/>
        </w:rPr>
        <w:t>;</w:t>
      </w:r>
    </w:p>
    <w:p w14:paraId="20BCD217" w14:textId="77777777" w:rsidR="00CF40F1" w:rsidRPr="00CF40F1" w:rsidRDefault="00CF40F1" w:rsidP="00CF40F1">
      <w:pPr>
        <w:numPr>
          <w:ilvl w:val="0"/>
          <w:numId w:val="5"/>
        </w:numPr>
        <w:suppressAutoHyphens w:val="0"/>
        <w:ind w:left="176" w:firstLine="108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Общая проверка на герметичность.</w:t>
      </w:r>
    </w:p>
    <w:p w14:paraId="06D47528" w14:textId="77777777" w:rsidR="00CF40F1" w:rsidRPr="00CF40F1" w:rsidRDefault="00CF40F1" w:rsidP="00CF40F1">
      <w:pPr>
        <w:suppressAutoHyphens w:val="0"/>
        <w:ind w:left="284"/>
        <w:rPr>
          <w:sz w:val="20"/>
          <w:szCs w:val="20"/>
          <w:lang w:eastAsia="ru-RU"/>
        </w:rPr>
      </w:pPr>
    </w:p>
    <w:p w14:paraId="1F9F26DF" w14:textId="77777777" w:rsidR="00CF40F1" w:rsidRPr="00CF40F1" w:rsidRDefault="00CF40F1" w:rsidP="00CF40F1">
      <w:pPr>
        <w:suppressAutoHyphens w:val="0"/>
        <w:ind w:left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5.6. После окончания соответствующих работ по ремонту МИ исполнитель обязан сделать соответствующую отметку в журнале ТО МИ.</w:t>
      </w:r>
    </w:p>
    <w:p w14:paraId="37A2FA5A" w14:textId="77777777" w:rsidR="00CF40F1" w:rsidRPr="00CF40F1" w:rsidRDefault="00CF40F1" w:rsidP="00CF40F1">
      <w:pPr>
        <w:suppressAutoHyphens w:val="0"/>
        <w:ind w:right="-502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6. Гарантийные сроки:</w:t>
      </w:r>
    </w:p>
    <w:p w14:paraId="026B1129" w14:textId="77777777" w:rsidR="00CF40F1" w:rsidRPr="00CF40F1" w:rsidRDefault="00CF40F1" w:rsidP="00CF40F1">
      <w:pPr>
        <w:suppressAutoHyphens w:val="0"/>
        <w:ind w:right="-502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- на ремонтные работы, не менее 6 месяцев;</w:t>
      </w:r>
    </w:p>
    <w:p w14:paraId="607E09CA" w14:textId="77777777" w:rsidR="00CF40F1" w:rsidRPr="00CF40F1" w:rsidRDefault="00CF40F1" w:rsidP="00CF40F1">
      <w:pPr>
        <w:suppressAutoHyphens w:val="0"/>
        <w:ind w:right="-502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- на установленные запасные части не менее 6 месяцев.</w:t>
      </w:r>
    </w:p>
    <w:p w14:paraId="5E4A778E" w14:textId="77777777" w:rsidR="00CF40F1" w:rsidRPr="00CF40F1" w:rsidRDefault="00CF40F1" w:rsidP="00CF40F1">
      <w:pPr>
        <w:suppressAutoHyphens w:val="0"/>
        <w:ind w:right="-502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Гарантийный срок исчисляют с даты завершения работ, указанной в журнале ТО МИ.</w:t>
      </w:r>
    </w:p>
    <w:p w14:paraId="69D96603" w14:textId="77777777" w:rsidR="00CF40F1" w:rsidRPr="00CF40F1" w:rsidRDefault="00CF40F1" w:rsidP="00CF40F1">
      <w:pPr>
        <w:suppressAutoHyphens w:val="0"/>
        <w:ind w:right="-1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6.1. При обнаружении недостатков, допущенных при проведении ремонта, исполнитель должен устранить их безвозмездно в срок не более 10 рабочих дней (без учета времени доставки запасных частей) с момента поступления к нему соответствующего обращения Заказчика.</w:t>
      </w:r>
    </w:p>
    <w:p w14:paraId="542B82B7" w14:textId="77777777" w:rsidR="00CF40F1" w:rsidRPr="00CF40F1" w:rsidRDefault="00CF40F1" w:rsidP="00CF40F1">
      <w:pPr>
        <w:suppressAutoHyphens w:val="0"/>
        <w:ind w:right="-502" w:firstLine="284"/>
        <w:jc w:val="both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6.2. Срок проведения работ - не более 120 рабочих дней с момента заключения контракта.</w:t>
      </w:r>
    </w:p>
    <w:p w14:paraId="24428976" w14:textId="77777777" w:rsidR="00CF40F1" w:rsidRPr="00CF40F1" w:rsidRDefault="00CF40F1" w:rsidP="00CF40F1">
      <w:pPr>
        <w:suppressAutoHyphens w:val="0"/>
        <w:ind w:firstLine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7. Перечень медицинских изделий:</w:t>
      </w: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60"/>
        <w:gridCol w:w="1417"/>
        <w:gridCol w:w="1418"/>
        <w:gridCol w:w="992"/>
        <w:gridCol w:w="992"/>
        <w:gridCol w:w="1701"/>
      </w:tblGrid>
      <w:tr w:rsidR="00CF40F1" w:rsidRPr="00CF40F1" w14:paraId="2B3395FC" w14:textId="77777777" w:rsidTr="00CF40F1">
        <w:trPr>
          <w:trHeight w:val="967"/>
        </w:trPr>
        <w:tc>
          <w:tcPr>
            <w:tcW w:w="567" w:type="dxa"/>
            <w:shd w:val="clear" w:color="auto" w:fill="auto"/>
            <w:vAlign w:val="center"/>
          </w:tcPr>
          <w:p w14:paraId="27A04BAF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44DEB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Наименование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CF40F1">
              <w:rPr>
                <w:b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E05F1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Модель</w:t>
            </w:r>
          </w:p>
          <w:p w14:paraId="0826B2AA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(марка) 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0DB81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Наименование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CF40F1">
              <w:rPr>
                <w:b/>
                <w:sz w:val="20"/>
                <w:szCs w:val="20"/>
                <w:lang w:eastAsia="ru-RU"/>
              </w:rPr>
              <w:t>изготовителя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1C318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Номер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CF40F1">
              <w:rPr>
                <w:b/>
                <w:sz w:val="20"/>
                <w:szCs w:val="20"/>
                <w:lang w:eastAsia="ru-RU"/>
              </w:rPr>
              <w:t>Регистрационного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CF40F1">
              <w:rPr>
                <w:b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766AC0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Страна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F40F1">
              <w:rPr>
                <w:b/>
                <w:sz w:val="20"/>
                <w:szCs w:val="20"/>
                <w:lang w:eastAsia="ru-RU"/>
              </w:rPr>
              <w:t>происхож-дения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EEA2B54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D1EB6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Зав.№ (инв. №)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02D38" w14:textId="77777777" w:rsidR="00CF40F1" w:rsidRPr="00CF40F1" w:rsidRDefault="00CF40F1" w:rsidP="00CF40F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F40F1">
              <w:rPr>
                <w:b/>
                <w:sz w:val="20"/>
                <w:szCs w:val="20"/>
                <w:lang w:eastAsia="ru-RU"/>
              </w:rPr>
              <w:t>Место</w:t>
            </w:r>
            <w:r w:rsidRPr="00CF40F1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CF40F1">
              <w:rPr>
                <w:b/>
                <w:sz w:val="20"/>
                <w:szCs w:val="20"/>
                <w:lang w:eastAsia="ru-RU"/>
              </w:rPr>
              <w:t>размещения</w:t>
            </w:r>
          </w:p>
        </w:tc>
      </w:tr>
      <w:tr w:rsidR="00CF40F1" w:rsidRPr="00CF40F1" w14:paraId="421006F0" w14:textId="77777777" w:rsidTr="00CF40F1">
        <w:trPr>
          <w:trHeight w:val="837"/>
        </w:trPr>
        <w:tc>
          <w:tcPr>
            <w:tcW w:w="567" w:type="dxa"/>
            <w:shd w:val="clear" w:color="auto" w:fill="auto"/>
            <w:vAlign w:val="center"/>
          </w:tcPr>
          <w:p w14:paraId="750DB9D0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9E5587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40F1">
              <w:rPr>
                <w:sz w:val="20"/>
                <w:szCs w:val="20"/>
                <w:lang w:eastAsia="ru-RU"/>
              </w:rPr>
              <w:t>Колоновидеоскоп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43E45A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CF-H170L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C0F0A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 xml:space="preserve">«Olympus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medical</w:t>
            </w:r>
            <w:proofErr w:type="spellEnd"/>
            <w:r w:rsidRPr="00CF40F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systems</w:t>
            </w:r>
            <w:proofErr w:type="spellEnd"/>
            <w:r w:rsidRPr="00CF40F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0F1">
              <w:rPr>
                <w:sz w:val="20"/>
                <w:szCs w:val="20"/>
                <w:lang w:eastAsia="ru-RU"/>
              </w:rPr>
              <w:t>corp</w:t>
            </w:r>
            <w:proofErr w:type="spellEnd"/>
            <w:r w:rsidRPr="00CF40F1">
              <w:rPr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9AAE7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РЗН 2015/3422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E4992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91DDC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B6720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2238587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0072B" w14:textId="77777777" w:rsidR="00CF40F1" w:rsidRPr="00CF40F1" w:rsidRDefault="00CF40F1" w:rsidP="00CF40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F40F1">
              <w:rPr>
                <w:sz w:val="20"/>
                <w:szCs w:val="20"/>
                <w:lang w:eastAsia="ru-RU"/>
              </w:rPr>
              <w:t>623854, Свердловская область, г. Ирбит, ул. Комсомольская, 72</w:t>
            </w:r>
          </w:p>
        </w:tc>
      </w:tr>
    </w:tbl>
    <w:p w14:paraId="7BE70B03" w14:textId="77777777" w:rsidR="00CF40F1" w:rsidRPr="00CF40F1" w:rsidRDefault="00CF40F1" w:rsidP="00CF40F1">
      <w:pPr>
        <w:suppressAutoHyphens w:val="0"/>
        <w:ind w:firstLine="284"/>
        <w:rPr>
          <w:sz w:val="20"/>
          <w:szCs w:val="20"/>
          <w:lang w:eastAsia="ru-RU"/>
        </w:rPr>
      </w:pPr>
      <w:r w:rsidRPr="00CF40F1">
        <w:rPr>
          <w:sz w:val="20"/>
          <w:szCs w:val="20"/>
          <w:lang w:eastAsia="ru-RU"/>
        </w:rPr>
        <w:t>8. Акт выполненных работ должен быть составлен и подписан сторонами договора по окончании проведения ремонтных работ.</w:t>
      </w:r>
    </w:p>
    <w:p w14:paraId="699E6C85" w14:textId="77777777" w:rsidR="00CF40F1" w:rsidRPr="00CF40F1" w:rsidRDefault="00CF40F1" w:rsidP="00CF40F1">
      <w:pPr>
        <w:suppressAutoHyphens w:val="0"/>
        <w:rPr>
          <w:sz w:val="20"/>
          <w:szCs w:val="20"/>
          <w:lang w:eastAsia="ru-RU"/>
        </w:rPr>
      </w:pPr>
    </w:p>
    <w:p w14:paraId="0D1D1D07" w14:textId="77777777" w:rsidR="00E21751" w:rsidRDefault="00E21751" w:rsidP="00E21751">
      <w:pPr>
        <w:textAlignment w:val="baseline"/>
        <w:rPr>
          <w:b/>
          <w:bCs/>
          <w:color w:val="00000A"/>
        </w:rPr>
      </w:pPr>
    </w:p>
    <w:p w14:paraId="30EF4559" w14:textId="77777777" w:rsidR="00E21751" w:rsidRDefault="00E21751" w:rsidP="00E21751">
      <w:pPr>
        <w:textAlignment w:val="baseline"/>
        <w:rPr>
          <w:b/>
          <w:bCs/>
          <w:color w:val="00000A"/>
        </w:rPr>
      </w:pPr>
    </w:p>
    <w:p w14:paraId="66443CD3" w14:textId="77777777" w:rsidR="00E21751" w:rsidRPr="00E21751" w:rsidRDefault="00E21751" w:rsidP="00E21751">
      <w:pPr>
        <w:textAlignment w:val="baseline"/>
        <w:rPr>
          <w:b/>
          <w:bCs/>
          <w:color w:val="00000A"/>
        </w:rPr>
      </w:pPr>
      <w:r w:rsidRPr="00E21751">
        <w:rPr>
          <w:b/>
          <w:bCs/>
          <w:color w:val="00000A"/>
        </w:rPr>
        <w:t>Инженер по медоборудованию                                                   Дмитриев В</w:t>
      </w:r>
      <w:r w:rsidR="00B437E5">
        <w:rPr>
          <w:b/>
          <w:bCs/>
          <w:color w:val="00000A"/>
        </w:rPr>
        <w:t>.</w:t>
      </w:r>
      <w:r w:rsidRPr="00E21751">
        <w:rPr>
          <w:b/>
          <w:bCs/>
          <w:color w:val="00000A"/>
        </w:rPr>
        <w:t>О</w:t>
      </w:r>
      <w:r w:rsidR="00B437E5">
        <w:rPr>
          <w:b/>
          <w:bCs/>
          <w:color w:val="00000A"/>
        </w:rPr>
        <w:t>.</w:t>
      </w:r>
    </w:p>
    <w:p w14:paraId="62DE4E28" w14:textId="77777777"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14:paraId="056936C4" w14:textId="77777777"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14:paraId="3066B5B3" w14:textId="77777777"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14:paraId="6F556C37" w14:textId="77777777"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14:paraId="3B25722B" w14:textId="77777777" w:rsidR="00296852" w:rsidRPr="003A398B" w:rsidRDefault="00296852" w:rsidP="00296852">
      <w:pPr>
        <w:jc w:val="center"/>
        <w:rPr>
          <w:sz w:val="20"/>
          <w:szCs w:val="20"/>
          <w:lang w:eastAsia="ru-RU"/>
        </w:rPr>
      </w:pPr>
    </w:p>
    <w:p w14:paraId="26999C96" w14:textId="77777777" w:rsidR="00296852" w:rsidRPr="003A398B" w:rsidRDefault="00296852" w:rsidP="00296852">
      <w:pPr>
        <w:jc w:val="center"/>
        <w:rPr>
          <w:b/>
          <w:sz w:val="20"/>
          <w:szCs w:val="20"/>
          <w:u w:val="single"/>
        </w:rPr>
      </w:pPr>
    </w:p>
    <w:sectPr w:rsidR="00296852" w:rsidRPr="003A398B" w:rsidSect="001961F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65D8"/>
    <w:multiLevelType w:val="hybridMultilevel"/>
    <w:tmpl w:val="A9E65E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11"/>
    <w:rsid w:val="000B1449"/>
    <w:rsid w:val="00121C27"/>
    <w:rsid w:val="001961F3"/>
    <w:rsid w:val="00296852"/>
    <w:rsid w:val="003A398B"/>
    <w:rsid w:val="003A7D11"/>
    <w:rsid w:val="00425900"/>
    <w:rsid w:val="005448A2"/>
    <w:rsid w:val="00585A45"/>
    <w:rsid w:val="00882B00"/>
    <w:rsid w:val="00950BA4"/>
    <w:rsid w:val="009F0EC1"/>
    <w:rsid w:val="00B437E5"/>
    <w:rsid w:val="00BE15F1"/>
    <w:rsid w:val="00CF40F1"/>
    <w:rsid w:val="00DD064F"/>
    <w:rsid w:val="00E21751"/>
    <w:rsid w:val="00E7705C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D2"/>
  <w15:docId w15:val="{C0B3B321-D7AC-4823-8CA2-DFD876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niiim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DFFB-1BDD-4B85-A8CD-FD366E19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Чусовитина Елена Васильевна</cp:lastModifiedBy>
  <cp:revision>7</cp:revision>
  <dcterms:created xsi:type="dcterms:W3CDTF">2024-04-09T08:11:00Z</dcterms:created>
  <dcterms:modified xsi:type="dcterms:W3CDTF">2024-08-29T05:23:00Z</dcterms:modified>
</cp:coreProperties>
</file>