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0A6" w:rsidRDefault="00C31CB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ГОСУДАРСТВЕННОЕ АВТОНОМНОЕ УЧРЕЖДЕНИЕ ЗДРАВООХРАНЕНИЯ</w:t>
      </w:r>
    </w:p>
    <w:p w:rsidR="004D70A6" w:rsidRDefault="00C31CB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СВЕРДЛОВСКОЙ ОБЛАСТИ</w:t>
      </w:r>
    </w:p>
    <w:p w:rsidR="004D70A6" w:rsidRDefault="00C31CB5">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«СЫСЕРТСКАЯ ЦЕНТРАЛЬНАЯ РАЙОННАЯ БОЛЬНИЦА»</w:t>
      </w:r>
    </w:p>
    <w:p w:rsidR="004D70A6" w:rsidRDefault="00CB5759">
      <w:pPr>
        <w:spacing w:after="0" w:line="240" w:lineRule="auto"/>
        <w:jc w:val="center"/>
        <w:rPr>
          <w:rFonts w:ascii="Times New Roman" w:hAnsi="Times New Roman" w:cs="Times New Roman"/>
          <w:sz w:val="20"/>
          <w:szCs w:val="20"/>
        </w:rPr>
      </w:pPr>
      <w:r>
        <w:rPr>
          <w:noProof/>
        </w:rPr>
        <w:pict>
          <v:rect id="_x0000_i1025" style="width:0;height:7.5pt" o:hralign="center" o:hrstd="t" o:hr="t" fillcolor="black" stroked="f"/>
        </w:pict>
      </w:r>
    </w:p>
    <w:p w:rsidR="004D70A6" w:rsidRDefault="00C31C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ИНН 6652027905/КПП 668501001; ОГРН 1096652000048; </w:t>
      </w:r>
    </w:p>
    <w:p w:rsidR="004D70A6" w:rsidRDefault="00C31C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ОКПО 01945903; ОКВЭД 86.10; ОКАТО 65241501000; БИК 046577001</w:t>
      </w:r>
    </w:p>
    <w:p w:rsidR="004D70A6" w:rsidRDefault="00C31C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Юридический адрес: 624022, Свердловская область, г. Сысерть, ул. Коммуны, 71</w:t>
      </w:r>
    </w:p>
    <w:p w:rsidR="004D70A6" w:rsidRDefault="00C31C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Адрес местонахождения: 624022, Свердловская область, г. Сысерть, ул. Коммуны, 69</w:t>
      </w:r>
    </w:p>
    <w:p w:rsidR="004D70A6" w:rsidRDefault="00C31CB5">
      <w:pPr>
        <w:spacing w:after="0" w:line="240" w:lineRule="auto"/>
        <w:jc w:val="center"/>
        <w:rPr>
          <w:rFonts w:ascii="Times New Roman" w:hAnsi="Times New Roman" w:cs="Times New Roman"/>
          <w:color w:val="0000FF"/>
          <w:sz w:val="20"/>
          <w:szCs w:val="20"/>
          <w:u w:val="single"/>
        </w:rPr>
      </w:pPr>
      <w:r>
        <w:rPr>
          <w:rFonts w:ascii="Times New Roman" w:hAnsi="Times New Roman" w:cs="Times New Roman"/>
          <w:sz w:val="20"/>
          <w:szCs w:val="20"/>
        </w:rPr>
        <w:t xml:space="preserve">тел./факс 6-50-76; </w:t>
      </w:r>
      <w:r>
        <w:rPr>
          <w:rFonts w:ascii="Times New Roman" w:hAnsi="Times New Roman" w:cs="Times New Roman"/>
          <w:sz w:val="20"/>
          <w:szCs w:val="20"/>
          <w:lang w:val="en-US"/>
        </w:rPr>
        <w:t>E</w:t>
      </w:r>
      <w:r>
        <w:rPr>
          <w:rFonts w:ascii="Times New Roman" w:hAnsi="Times New Roman" w:cs="Times New Roman"/>
          <w:sz w:val="20"/>
          <w:szCs w:val="20"/>
        </w:rPr>
        <w:t xml:space="preserve"> – </w:t>
      </w:r>
      <w:r>
        <w:rPr>
          <w:rFonts w:ascii="Times New Roman" w:hAnsi="Times New Roman" w:cs="Times New Roman"/>
          <w:sz w:val="20"/>
          <w:szCs w:val="20"/>
          <w:lang w:val="en-US"/>
        </w:rPr>
        <w:t>mail</w:t>
      </w:r>
      <w:r>
        <w:rPr>
          <w:rFonts w:ascii="Times New Roman" w:hAnsi="Times New Roman" w:cs="Times New Roman"/>
          <w:sz w:val="20"/>
          <w:szCs w:val="20"/>
        </w:rPr>
        <w:t xml:space="preserve">: </w:t>
      </w:r>
      <w:hyperlink r:id="rId6" w:history="1">
        <w:r>
          <w:rPr>
            <w:rStyle w:val="a4"/>
            <w:rFonts w:ascii="Times New Roman" w:hAnsi="Times New Roman" w:cs="Times New Roman"/>
            <w:sz w:val="20"/>
            <w:szCs w:val="20"/>
            <w:lang w:val="en-US"/>
          </w:rPr>
          <w:t>crb</w:t>
        </w:r>
        <w:r>
          <w:rPr>
            <w:rStyle w:val="a4"/>
            <w:rFonts w:ascii="Times New Roman" w:hAnsi="Times New Roman" w:cs="Times New Roman"/>
            <w:sz w:val="20"/>
            <w:szCs w:val="20"/>
          </w:rPr>
          <w:t>-2@</w:t>
        </w:r>
        <w:r>
          <w:rPr>
            <w:rStyle w:val="a4"/>
            <w:rFonts w:ascii="Times New Roman" w:hAnsi="Times New Roman" w:cs="Times New Roman"/>
            <w:sz w:val="20"/>
            <w:szCs w:val="20"/>
            <w:lang w:val="en-US"/>
          </w:rPr>
          <w:t>mail</w:t>
        </w:r>
        <w:r>
          <w:rPr>
            <w:rStyle w:val="a4"/>
            <w:rFonts w:ascii="Times New Roman" w:hAnsi="Times New Roman" w:cs="Times New Roman"/>
            <w:sz w:val="20"/>
            <w:szCs w:val="20"/>
          </w:rPr>
          <w:t>.</w:t>
        </w:r>
        <w:r>
          <w:rPr>
            <w:rStyle w:val="a4"/>
            <w:rFonts w:ascii="Times New Roman" w:hAnsi="Times New Roman" w:cs="Times New Roman"/>
            <w:sz w:val="20"/>
            <w:szCs w:val="20"/>
            <w:lang w:val="en-US"/>
          </w:rPr>
          <w:t>ru</w:t>
        </w:r>
      </w:hyperlink>
    </w:p>
    <w:p w:rsidR="004D70A6" w:rsidRDefault="004D70A6">
      <w:pPr>
        <w:pBdr>
          <w:top w:val="nil"/>
          <w:left w:val="nil"/>
          <w:bottom w:val="nil"/>
          <w:right w:val="nil"/>
          <w:between w:val="nil"/>
        </w:pBdr>
        <w:shd w:val="solid" w:color="FFFFFF" w:fill="auto"/>
        <w:tabs>
          <w:tab w:val="left" w:pos="708"/>
          <w:tab w:val="left" w:pos="5671"/>
        </w:tabs>
        <w:spacing w:after="0" w:line="240" w:lineRule="auto"/>
        <w:jc w:val="center"/>
        <w:rPr>
          <w:rFonts w:ascii="Liberation Serif" w:eastAsia="Times New Roman" w:hAnsi="Liberation Serif" w:cs="Liberation Serif"/>
          <w:b/>
          <w:bCs/>
          <w:color w:val="000000"/>
          <w:sz w:val="27"/>
          <w:szCs w:val="27"/>
          <w:lang w:eastAsia="ru-RU"/>
        </w:rPr>
      </w:pPr>
    </w:p>
    <w:p w:rsidR="004D70A6" w:rsidRDefault="00C31CB5">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ЗАПРОС</w:t>
      </w:r>
    </w:p>
    <w:p w:rsidR="004D70A6" w:rsidRDefault="00C31CB5">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b/>
          <w:bCs/>
          <w:color w:val="000000"/>
          <w:sz w:val="27"/>
          <w:szCs w:val="27"/>
          <w:lang w:eastAsia="ru-RU"/>
        </w:rPr>
        <w:t>о предоставлении ценовой информации в отношении товара для определения начальной (максимальной) цены договора, цены договора, заключаемого с единственным поставщиком (подрядчиком, исполнителем), цены единицы товара, работы, услуги</w:t>
      </w:r>
    </w:p>
    <w:p w:rsidR="004D70A6" w:rsidRDefault="004D70A6">
      <w:pPr>
        <w:pBdr>
          <w:top w:val="nil"/>
          <w:left w:val="nil"/>
          <w:bottom w:val="nil"/>
          <w:right w:val="nil"/>
          <w:between w:val="nil"/>
        </w:pBdr>
        <w:shd w:val="solid" w:color="FFFFFF" w:fill="auto"/>
        <w:tabs>
          <w:tab w:val="left" w:pos="708"/>
          <w:tab w:val="left" w:pos="5671"/>
        </w:tabs>
        <w:spacing w:after="0" w:line="240" w:lineRule="auto"/>
        <w:jc w:val="center"/>
        <w:rPr>
          <w:rFonts w:ascii="Times New Roman" w:eastAsia="Times New Roman" w:hAnsi="Times New Roman" w:cs="Times New Roman"/>
          <w:sz w:val="24"/>
          <w:szCs w:val="24"/>
          <w:lang w:eastAsia="ru-RU"/>
        </w:rPr>
      </w:pPr>
    </w:p>
    <w:tbl>
      <w:tblPr>
        <w:tblW w:w="9571" w:type="dxa"/>
        <w:tblLook w:val="04A0" w:firstRow="1" w:lastRow="0" w:firstColumn="1" w:lastColumn="0" w:noHBand="0" w:noVBand="1"/>
      </w:tblPr>
      <w:tblGrid>
        <w:gridCol w:w="9571"/>
      </w:tblGrid>
      <w:tr w:rsidR="004D70A6">
        <w:tc>
          <w:tcPr>
            <w:tcW w:w="9571" w:type="dxa"/>
            <w:tcBorders>
              <w:top w:val="nil"/>
              <w:left w:val="nil"/>
              <w:bottom w:val="single" w:sz="4" w:space="0" w:color="000000"/>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D70A6">
        <w:tc>
          <w:tcPr>
            <w:tcW w:w="9571" w:type="dxa"/>
            <w:tcBorders>
              <w:top w:val="single" w:sz="4" w:space="0" w:color="000000"/>
              <w:left w:val="nil"/>
              <w:bottom w:val="single" w:sz="4" w:space="0" w:color="000000"/>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ГАУЗ СО «Сысертская ЦРБ»</w:t>
            </w:r>
          </w:p>
        </w:tc>
      </w:tr>
      <w:tr w:rsidR="004D70A6">
        <w:tc>
          <w:tcPr>
            <w:tcW w:w="9571" w:type="dxa"/>
            <w:tcBorders>
              <w:top w:val="single" w:sz="4" w:space="0" w:color="000000"/>
              <w:left w:val="nil"/>
              <w:bottom w:val="single" w:sz="4" w:space="0" w:color="000000"/>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4D70A6">
        <w:tc>
          <w:tcPr>
            <w:tcW w:w="9571" w:type="dxa"/>
            <w:tcBorders>
              <w:top w:val="single" w:sz="4" w:space="0" w:color="000000"/>
              <w:left w:val="nil"/>
              <w:bottom w:val="single" w:sz="4" w:space="0" w:color="000000"/>
              <w:right w:val="nil"/>
            </w:tcBorders>
            <w:shd w:val="solid" w:color="FFFFFF" w:fill="auto"/>
            <w:vAlign w:val="center"/>
          </w:tcPr>
          <w:p w:rsidR="004D70A6" w:rsidRDefault="00C31CB5" w:rsidP="00D2494F">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bookmarkStart w:id="0" w:name="_GoBack"/>
            <w:r>
              <w:rPr>
                <w:rFonts w:ascii="Liberation Serif" w:eastAsia="Times New Roman" w:hAnsi="Liberation Serif" w:cs="Liberation Serif"/>
                <w:color w:val="000000"/>
                <w:sz w:val="27"/>
                <w:szCs w:val="27"/>
                <w:lang w:eastAsia="ru-RU"/>
              </w:rPr>
              <w:t xml:space="preserve">Поставка </w:t>
            </w:r>
            <w:r w:rsidR="00D2494F">
              <w:rPr>
                <w:rFonts w:ascii="Liberation Serif" w:eastAsia="Times New Roman" w:hAnsi="Liberation Serif" w:cs="Liberation Serif"/>
                <w:color w:val="000000"/>
                <w:sz w:val="27"/>
                <w:szCs w:val="27"/>
                <w:lang w:eastAsia="ru-RU"/>
              </w:rPr>
              <w:t>медицинских изделий для урологии</w:t>
            </w:r>
            <w:bookmarkEnd w:id="0"/>
          </w:p>
        </w:tc>
      </w:tr>
    </w:tbl>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5568EA" w:rsidRDefault="005568EA">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tbl>
      <w:tblPr>
        <w:tblW w:w="10094" w:type="dxa"/>
        <w:tblCellSpacing w:w="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0"/>
        <w:gridCol w:w="1418"/>
        <w:gridCol w:w="6095"/>
        <w:gridCol w:w="891"/>
        <w:gridCol w:w="1000"/>
      </w:tblGrid>
      <w:tr w:rsidR="005568EA" w:rsidRPr="00B116F3" w:rsidTr="0093066C">
        <w:trPr>
          <w:trHeight w:val="401"/>
          <w:tblCellSpacing w:w="0" w:type="dxa"/>
        </w:trPr>
        <w:tc>
          <w:tcPr>
            <w:tcW w:w="6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Номер</w:t>
            </w:r>
          </w:p>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строки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Наименование товара</w:t>
            </w:r>
          </w:p>
        </w:tc>
        <w:tc>
          <w:tcPr>
            <w:tcW w:w="7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Подробное описание предмета закупки</w:t>
            </w:r>
          </w:p>
        </w:tc>
      </w:tr>
      <w:tr w:rsidR="005568EA" w:rsidRPr="00B116F3" w:rsidTr="0093066C">
        <w:trPr>
          <w:trHeight w:val="400"/>
          <w:tblCellSpacing w:w="0" w:type="dxa"/>
        </w:trPr>
        <w:tc>
          <w:tcPr>
            <w:tcW w:w="690" w:type="dxa"/>
            <w:vMerge/>
            <w:tcBorders>
              <w:top w:val="single" w:sz="4" w:space="0" w:color="000000"/>
              <w:left w:val="single" w:sz="4" w:space="0" w:color="000000"/>
              <w:bottom w:val="single" w:sz="4" w:space="0" w:color="000000"/>
              <w:right w:val="single" w:sz="4" w:space="0" w:color="000000"/>
            </w:tcBorders>
            <w:vAlign w:val="center"/>
            <w:hideMark/>
          </w:tcPr>
          <w:p w:rsidR="005568EA" w:rsidRPr="00B116F3" w:rsidRDefault="005568EA" w:rsidP="00D00B6A">
            <w:pPr>
              <w:spacing w:after="0" w:line="240" w:lineRule="auto"/>
              <w:rPr>
                <w:rFonts w:ascii="Times New Roman" w:eastAsia="Times New Roman" w:hAnsi="Times New Roman" w:cs="Times New Roman"/>
                <w:sz w:val="20"/>
                <w:szCs w:val="2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5568EA" w:rsidRPr="00B116F3" w:rsidRDefault="005568EA" w:rsidP="00D00B6A">
            <w:pPr>
              <w:spacing w:after="0" w:line="240" w:lineRule="auto"/>
              <w:rPr>
                <w:rFonts w:ascii="Times New Roman" w:eastAsia="Times New Roman" w:hAnsi="Times New Roman" w:cs="Times New Roman"/>
                <w:sz w:val="20"/>
                <w:szCs w:val="20"/>
                <w:lang w:eastAsia="ru-RU"/>
              </w:rPr>
            </w:pP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Характеристики  предмета закупки</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Единица измерения</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Количество товара</w:t>
            </w:r>
          </w:p>
        </w:tc>
      </w:tr>
      <w:tr w:rsidR="005568EA" w:rsidRPr="00B116F3" w:rsidTr="0093066C">
        <w:trPr>
          <w:trHeight w:val="326"/>
          <w:tblCellSpacing w:w="0" w:type="dxa"/>
        </w:trPr>
        <w:tc>
          <w:tcPr>
            <w:tcW w:w="69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3</w:t>
            </w:r>
          </w:p>
        </w:tc>
        <w:tc>
          <w:tcPr>
            <w:tcW w:w="8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4</w:t>
            </w:r>
          </w:p>
        </w:tc>
        <w:tc>
          <w:tcPr>
            <w:tcW w:w="9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5568EA" w:rsidRPr="00B116F3" w:rsidRDefault="005568EA" w:rsidP="00D00B6A">
            <w:pPr>
              <w:shd w:val="clear" w:color="auto" w:fill="FFFFFF"/>
              <w:spacing w:after="0" w:line="240" w:lineRule="auto"/>
              <w:jc w:val="center"/>
              <w:rPr>
                <w:rFonts w:ascii="Times New Roman" w:eastAsia="Times New Roman" w:hAnsi="Times New Roman" w:cs="Times New Roman"/>
                <w:sz w:val="20"/>
                <w:szCs w:val="20"/>
                <w:lang w:eastAsia="ru-RU"/>
              </w:rPr>
            </w:pPr>
            <w:r w:rsidRPr="00B116F3">
              <w:rPr>
                <w:rFonts w:ascii="Times New Roman" w:eastAsia="Times New Roman" w:hAnsi="Times New Roman" w:cs="Times New Roman"/>
                <w:color w:val="000000"/>
                <w:sz w:val="20"/>
                <w:szCs w:val="20"/>
                <w:lang w:eastAsia="ru-RU"/>
              </w:rPr>
              <w:t>5</w:t>
            </w:r>
          </w:p>
        </w:tc>
      </w:tr>
      <w:tr w:rsidR="005568EA" w:rsidRPr="00B116F3" w:rsidTr="0093066C">
        <w:trPr>
          <w:trHeight w:val="60"/>
          <w:tblCellSpacing w:w="0" w:type="dxa"/>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5568EA" w:rsidRPr="00B116F3" w:rsidRDefault="005568EA" w:rsidP="005568EA">
            <w:pPr>
              <w:autoSpaceDE w:val="0"/>
              <w:autoSpaceDN w:val="0"/>
              <w:adjustRightInd w:val="0"/>
              <w:jc w:val="center"/>
              <w:rPr>
                <w:rFonts w:ascii="Times New Roman" w:eastAsia="Times New Roman" w:hAnsi="Times New Roman" w:cs="Times New Roman"/>
                <w:color w:val="000000"/>
                <w:sz w:val="20"/>
                <w:szCs w:val="20"/>
                <w:lang w:eastAsia="ru-RU"/>
              </w:rPr>
            </w:pPr>
            <w:r w:rsidRPr="00B116F3">
              <w:rPr>
                <w:rFonts w:ascii="Times New Roman" w:eastAsia="Times New Roman" w:hAnsi="Times New Roman" w:cs="Times New Roman"/>
                <w:color w:val="000000"/>
                <w:sz w:val="20"/>
                <w:szCs w:val="20"/>
                <w:lang w:eastAsia="ru-RU"/>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5568EA" w:rsidRPr="00B116F3" w:rsidRDefault="00612566" w:rsidP="00612566">
            <w:pPr>
              <w:rPr>
                <w:rFonts w:ascii="Times New Roman" w:hAnsi="Times New Roman" w:cs="Times New Roman"/>
                <w:bCs/>
                <w:sz w:val="20"/>
                <w:szCs w:val="20"/>
              </w:rPr>
            </w:pPr>
            <w:r>
              <w:rPr>
                <w:rFonts w:ascii="Times New Roman" w:hAnsi="Times New Roman" w:cs="Times New Roman"/>
                <w:bCs/>
                <w:sz w:val="20"/>
                <w:szCs w:val="20"/>
              </w:rPr>
              <w:t>Набор для нефростомии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Набор для проведения многошаговой перкутанной нефростомии (ЧПНС) в составе:</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 xml:space="preserve">- нефростомический катетер однопетлевой J-типа с силиконовой муфтой для фиксации, длина не менее 29 см, размер 8 Ch/Fr, не менее 6 боковых отверстий на петле, расположенных в шахматном порядке, торцевое отверстие, градуировка на катетере по сантиметрам, материал термопластичный рентгенконтрастный биополимер Вортек (Vortek) или аналог, имеющий двухслойную структуру - внутренний слой жесткий, для лучшего проведения по проводнику, наружный слой мягкий, для комфорта пациента,  для длительной имплантации не менее  12 месяцев; </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 xml:space="preserve">металлический стилет для выпрямления петли катетера; </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 xml:space="preserve"> проводник Сельдингера J-типа, длина не менее 80 см, 0.038", материал сталь с тефлоновым покрытием; </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игла Чиба 18G, рентген-, УЗИ-контрастная;</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игла Чиба 22G, рентген-, УЗИ-контрастная, для введения контрастного вещества:</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набор простых дилятаторов; переходник для соединения катетера с мешком-мочеприемником (длина не менее 25 см, материал ПВХ (поливинилхлорид);</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 xml:space="preserve">коннектор Луэр-лок с запирательным механизмом. </w:t>
            </w:r>
          </w:p>
          <w:p w:rsidR="00D2494F" w:rsidRPr="00D2494F" w:rsidRDefault="00D2494F" w:rsidP="00D2494F">
            <w:pPr>
              <w:rPr>
                <w:rFonts w:ascii="Times New Roman" w:hAnsi="Times New Roman" w:cs="Times New Roman"/>
                <w:sz w:val="20"/>
                <w:szCs w:val="20"/>
              </w:rPr>
            </w:pPr>
            <w:r w:rsidRPr="00D2494F">
              <w:rPr>
                <w:rFonts w:ascii="Times New Roman" w:hAnsi="Times New Roman" w:cs="Times New Roman"/>
                <w:sz w:val="20"/>
                <w:szCs w:val="20"/>
              </w:rPr>
              <w:lastRenderedPageBreak/>
              <w:t xml:space="preserve">Набор поставляется в стерильном виде. Отдельная двойная стерильная упаковка для нефростомического катетера на металлическом стилете, и переходника в мешок-мочеприемника. </w:t>
            </w:r>
          </w:p>
          <w:p w:rsidR="005568EA" w:rsidRPr="00B116F3" w:rsidRDefault="00D2494F" w:rsidP="00D2494F">
            <w:pPr>
              <w:rPr>
                <w:rFonts w:ascii="Times New Roman" w:hAnsi="Times New Roman" w:cs="Times New Roman"/>
                <w:sz w:val="20"/>
                <w:szCs w:val="20"/>
              </w:rPr>
            </w:pPr>
            <w:r w:rsidRPr="00D2494F">
              <w:rPr>
                <w:rFonts w:ascii="Times New Roman" w:hAnsi="Times New Roman" w:cs="Times New Roman"/>
                <w:sz w:val="20"/>
                <w:szCs w:val="20"/>
              </w:rPr>
              <w:t>На этикетке должна быть маркировка с информацией о комплектующих, входящих в набор, их размерах и характеристиках. Три этикетки для вклейки в карту пациента после использования катетера. Отдельная стерильная упаковка для иглы Чиба 18G. Отдельная стерильная упаковка для иглы Чиба 22G. Отдельная стерильная упаковка для проводника Сельдингера. Отдельная стерильная упаковка для дилятаторов. Все должно быть упаковано в единую общую упаковку для всего набора.</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Pr>
          <w:p w:rsidR="005568EA" w:rsidRPr="00B116F3" w:rsidRDefault="00612566" w:rsidP="005568EA">
            <w:pPr>
              <w:pStyle w:val="a7"/>
              <w:jc w:val="center"/>
              <w:rPr>
                <w:sz w:val="20"/>
                <w:szCs w:val="20"/>
              </w:rPr>
            </w:pPr>
            <w:r>
              <w:rPr>
                <w:sz w:val="20"/>
                <w:szCs w:val="20"/>
              </w:rPr>
              <w:lastRenderedPageBreak/>
              <w:t>набор</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5568EA" w:rsidRPr="00B116F3" w:rsidRDefault="00612566" w:rsidP="005568EA">
            <w:pPr>
              <w:jc w:val="center"/>
              <w:rPr>
                <w:rFonts w:ascii="Times New Roman" w:hAnsi="Times New Roman" w:cs="Times New Roman"/>
                <w:sz w:val="20"/>
                <w:szCs w:val="20"/>
              </w:rPr>
            </w:pPr>
            <w:r>
              <w:rPr>
                <w:rFonts w:ascii="Times New Roman" w:hAnsi="Times New Roman" w:cs="Times New Roman"/>
                <w:sz w:val="20"/>
                <w:szCs w:val="20"/>
              </w:rPr>
              <w:t>10</w:t>
            </w:r>
          </w:p>
        </w:tc>
      </w:tr>
      <w:tr w:rsidR="00D2494F" w:rsidRPr="00B116F3" w:rsidTr="0093066C">
        <w:trPr>
          <w:trHeight w:val="60"/>
          <w:tblCellSpacing w:w="0" w:type="dxa"/>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D2494F" w:rsidP="005568EA">
            <w:pPr>
              <w:autoSpaceDE w:val="0"/>
              <w:autoSpaceDN w:val="0"/>
              <w:adjustRightInd w:val="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612566" w:rsidP="005568EA">
            <w:pPr>
              <w:rPr>
                <w:rFonts w:ascii="Times New Roman" w:hAnsi="Times New Roman" w:cs="Times New Roman"/>
                <w:bCs/>
                <w:sz w:val="20"/>
                <w:szCs w:val="20"/>
              </w:rPr>
            </w:pPr>
            <w:r>
              <w:rPr>
                <w:rFonts w:ascii="Times New Roman" w:hAnsi="Times New Roman" w:cs="Times New Roman"/>
                <w:bCs/>
                <w:sz w:val="20"/>
                <w:szCs w:val="20"/>
              </w:rPr>
              <w:t>Набор для нефростомии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Нефростомический набор должен быть предназначен для чрескожного дренирования чашечно-лоханочной системы почки в составе:</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пункционная игла, проводник, набор дилататоров.</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 xml:space="preserve">Материал изготовления пункционной иглы: медицинская нержавеющая сталь </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Диаметр иглы G 18 .</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Пластиковый адаптер Luer-Lock с соединительным разъемом.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Глубина пункции не менее 200мм.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Тип проводника: J- образный.</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Диаметр проводника не более 0,035"</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Длина проводника не более  90см.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Набор ренгеноконтрастных дилататоров должен быть из дилататоров 6 Ch, 8 Ch, 10 Ch и 11 Ch</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 xml:space="preserve">Длина дилататора не менее  20см.   </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Металлическая жесткая канюля.</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Пластиковая гибкая  канюля.</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Тип дренажного катетера: Pigtail.</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Материал изготовления дренажного катетера: рентгеноконтрастный полиуретан  с гидрофильным покрытием.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Дренажные отверстия катетера не менее   4 шт.</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Диаметр катетера 10 Ch/Fr.</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Длина катетера не менее  30см.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Рабочая длина катетера не менее 29см.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Защитный кожух катетера.</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Фиксирующая нить.</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Соединительная трубка низкого давления не менее 15см.</w:t>
            </w:r>
          </w:p>
          <w:p w:rsidR="00D2494F" w:rsidRPr="00D2494F"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Набор для одноразового использования.</w:t>
            </w:r>
          </w:p>
          <w:p w:rsidR="00D2494F" w:rsidRPr="00B116F3" w:rsidRDefault="00D2494F" w:rsidP="00D2494F">
            <w:pPr>
              <w:spacing w:after="0" w:line="240" w:lineRule="auto"/>
              <w:rPr>
                <w:rFonts w:ascii="Times New Roman" w:hAnsi="Times New Roman" w:cs="Times New Roman"/>
                <w:sz w:val="20"/>
                <w:szCs w:val="20"/>
              </w:rPr>
            </w:pPr>
            <w:r w:rsidRPr="00D2494F">
              <w:rPr>
                <w:rFonts w:ascii="Times New Roman" w:hAnsi="Times New Roman" w:cs="Times New Roman"/>
                <w:sz w:val="20"/>
                <w:szCs w:val="20"/>
              </w:rPr>
              <w:t>Двойная стерильная упаковка набора.</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612566" w:rsidP="005568EA">
            <w:pPr>
              <w:pStyle w:val="a7"/>
              <w:jc w:val="center"/>
              <w:rPr>
                <w:sz w:val="20"/>
                <w:szCs w:val="20"/>
              </w:rPr>
            </w:pPr>
            <w:r>
              <w:rPr>
                <w:sz w:val="20"/>
                <w:szCs w:val="20"/>
              </w:rPr>
              <w:t>набор</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612566" w:rsidP="005568EA">
            <w:pPr>
              <w:jc w:val="center"/>
              <w:rPr>
                <w:rFonts w:ascii="Times New Roman" w:hAnsi="Times New Roman" w:cs="Times New Roman"/>
                <w:sz w:val="20"/>
                <w:szCs w:val="20"/>
              </w:rPr>
            </w:pPr>
            <w:r>
              <w:rPr>
                <w:rFonts w:ascii="Times New Roman" w:hAnsi="Times New Roman" w:cs="Times New Roman"/>
                <w:sz w:val="20"/>
                <w:szCs w:val="20"/>
              </w:rPr>
              <w:t>15</w:t>
            </w:r>
          </w:p>
        </w:tc>
      </w:tr>
      <w:tr w:rsidR="00D2494F" w:rsidRPr="00B116F3" w:rsidTr="0093066C">
        <w:trPr>
          <w:trHeight w:val="60"/>
          <w:tblCellSpacing w:w="0" w:type="dxa"/>
        </w:trPr>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D2494F" w:rsidP="005568EA">
            <w:pPr>
              <w:autoSpaceDE w:val="0"/>
              <w:autoSpaceDN w:val="0"/>
              <w:adjustRightInd w:val="0"/>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612566" w:rsidP="005568EA">
            <w:pPr>
              <w:rPr>
                <w:rFonts w:ascii="Times New Roman" w:hAnsi="Times New Roman" w:cs="Times New Roman"/>
                <w:bCs/>
                <w:sz w:val="20"/>
                <w:szCs w:val="20"/>
              </w:rPr>
            </w:pPr>
            <w:r>
              <w:rPr>
                <w:rFonts w:ascii="Times New Roman" w:hAnsi="Times New Roman" w:cs="Times New Roman"/>
                <w:bCs/>
                <w:sz w:val="20"/>
                <w:szCs w:val="20"/>
              </w:rPr>
              <w:t>Стент мочеточниковый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D2494F" w:rsidP="005568EA">
            <w:pPr>
              <w:rPr>
                <w:rFonts w:ascii="Times New Roman" w:hAnsi="Times New Roman" w:cs="Times New Roman"/>
                <w:sz w:val="20"/>
                <w:szCs w:val="20"/>
              </w:rPr>
            </w:pPr>
            <w:r w:rsidRPr="00D2494F">
              <w:rPr>
                <w:rFonts w:ascii="Times New Roman" w:hAnsi="Times New Roman" w:cs="Times New Roman"/>
                <w:sz w:val="20"/>
                <w:szCs w:val="20"/>
              </w:rPr>
              <w:t>Стент мочеточниковый двухпетлевой для внутреннего дренирования верхних отделов мочевыводящей системы.  Тип открытый/открытый, длина не менее 26 см, диаметр не менее 4.8 и не более 5,0 Ch/Fr, градуировка на стенте по сантиметрам, отверстия на петлях и прямой части стента. Материал полиамид, предназначен для краткосрочной имплантации. Максимальный срок - не менее 1 месяца. В комплекте должен быть проводник Сельдингера с фиксированным сердечником диаметром 0.035" (материал сталь с тефлоновым покрытием), простой неуправляемый толкатель. Стерильный. Индивидуальная упаковка. Наличие 3 стикеров с информацией об изделии для внесения в карту пациента.</w:t>
            </w:r>
          </w:p>
        </w:tc>
        <w:tc>
          <w:tcPr>
            <w:tcW w:w="891"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D2494F" w:rsidP="005568EA">
            <w:pPr>
              <w:pStyle w:val="a7"/>
              <w:jc w:val="center"/>
              <w:rPr>
                <w:sz w:val="20"/>
                <w:szCs w:val="20"/>
              </w:rPr>
            </w:pPr>
            <w:r>
              <w:rPr>
                <w:sz w:val="20"/>
                <w:szCs w:val="20"/>
              </w:rPr>
              <w:t>упак</w:t>
            </w:r>
          </w:p>
        </w:tc>
        <w:tc>
          <w:tcPr>
            <w:tcW w:w="999" w:type="dxa"/>
            <w:tcBorders>
              <w:top w:val="single" w:sz="4" w:space="0" w:color="000000"/>
              <w:left w:val="single" w:sz="4" w:space="0" w:color="000000"/>
              <w:bottom w:val="single" w:sz="4" w:space="0" w:color="000000"/>
              <w:right w:val="single" w:sz="4" w:space="0" w:color="000000"/>
            </w:tcBorders>
            <w:shd w:val="clear" w:color="auto" w:fill="FFFFFF"/>
          </w:tcPr>
          <w:p w:rsidR="00D2494F" w:rsidRPr="00B116F3" w:rsidRDefault="00D2494F" w:rsidP="005568EA">
            <w:pPr>
              <w:jc w:val="center"/>
              <w:rPr>
                <w:rFonts w:ascii="Times New Roman" w:hAnsi="Times New Roman" w:cs="Times New Roman"/>
                <w:sz w:val="20"/>
                <w:szCs w:val="20"/>
              </w:rPr>
            </w:pPr>
            <w:r>
              <w:rPr>
                <w:rFonts w:ascii="Times New Roman" w:hAnsi="Times New Roman" w:cs="Times New Roman"/>
                <w:sz w:val="20"/>
                <w:szCs w:val="20"/>
              </w:rPr>
              <w:t>25</w:t>
            </w:r>
          </w:p>
        </w:tc>
      </w:tr>
    </w:tbl>
    <w:p w:rsidR="005568EA" w:rsidRDefault="005568EA">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9616" w:type="dxa"/>
        <w:tblLook w:val="04A0" w:firstRow="1" w:lastRow="0" w:firstColumn="1" w:lastColumn="0" w:noHBand="0" w:noVBand="1"/>
      </w:tblPr>
      <w:tblGrid>
        <w:gridCol w:w="1069"/>
        <w:gridCol w:w="50"/>
        <w:gridCol w:w="4386"/>
        <w:gridCol w:w="4111"/>
      </w:tblGrid>
      <w:tr w:rsidR="004D70A6">
        <w:tc>
          <w:tcPr>
            <w:tcW w:w="1119"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Номер строки</w:t>
            </w:r>
          </w:p>
        </w:tc>
        <w:tc>
          <w:tcPr>
            <w:tcW w:w="4386"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270"/>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Описание планируемой закупки</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 xml:space="preserve">Содержательная часть </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lastRenderedPageBreak/>
              <w:t>1</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270"/>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Предполагаемые сроки проведения закупки</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A936D5" w:rsidP="00A936D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Декабрь </w:t>
            </w:r>
            <w:r w:rsidR="00552881">
              <w:rPr>
                <w:rFonts w:ascii="Times New Roman" w:eastAsia="Times New Roman" w:hAnsi="Times New Roman" w:cs="Times New Roman"/>
                <w:sz w:val="24"/>
                <w:szCs w:val="24"/>
                <w:lang w:eastAsia="ru-RU"/>
              </w:rPr>
              <w:t>2024</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Планируемый срок заключения договора</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A936D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r w:rsidR="00D2494F">
              <w:rPr>
                <w:rFonts w:ascii="Times New Roman" w:eastAsia="Times New Roman" w:hAnsi="Times New Roman" w:cs="Times New Roman"/>
                <w:sz w:val="24"/>
                <w:szCs w:val="24"/>
                <w:lang w:eastAsia="ru-RU"/>
              </w:rPr>
              <w:t>-январь 2025</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Основные условия исполнения договора</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договором</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4.</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Порядок поставки товара</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Товар должен быть поставлен в течение 5 (пяти) рабочих дней со дня направления Заказчиком соответствующей заявки.</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Поставка Товара осуществляется по заявкам, полученным от Заказчика. </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Заявка направляется Поставщику по почте по адресу Поставщика, указанному в договоре либо телеграммой либо по адресу электронной почты указанному в договоре.</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Поставка осуществляется по рабочим дням в период с 8-00 часов до 16-00 часов (время обеденного перерыва с 12-00 часов до 13-00)(по местному времени Заказчика).</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Датой поставки Товара является дата подписания Заказчиком (Получателем), товарных накладных по форме ТОРГ-12 («универсального передаточного документа») и (или) Акта сдачи-приемки Товара.</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 не позднее, чем за 24 часа до момента поставки Товара, должен уведомить Заказчика (Получателя) о планируемой отгрузке. Сообщение должно содержать ссылку на реквизиты договора, реквизиты соответствующей заявки, а также дату и планируемое время отгрузки. Досрочная поставка допускается только по согласованию с Заказчиком (Получателем). В случае согласования досрочной поставки Заказчик (Получатель) обязуется принять Товар и подписать товарные накладные по форме ТОРГ-12 («универсальный передаточный документ») и (или) Акт сдачи-приемки Товара и Акт соответствия/несоответствия Товара в порядке, установленном договором.</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Порядок оплаты</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Заказчик оплачивает фактически </w:t>
            </w:r>
            <w:r>
              <w:rPr>
                <w:rFonts w:ascii="Times New Roman" w:eastAsia="Times New Roman" w:hAnsi="Times New Roman" w:cs="Times New Roman"/>
                <w:sz w:val="24"/>
                <w:szCs w:val="24"/>
                <w:lang w:eastAsia="ru-RU"/>
              </w:rPr>
              <w:lastRenderedPageBreak/>
              <w:t>поставленную Поставщиком партию Товара в соответствии с договором путем перечисления соответствующей суммы на банковский счет Поставщика в течение 7 (семи) рабочих дней  с даты подписания Заказчиком товарных накладных по форме ТОРГ-12 («универсального передаточного документа») и/или Акта сдачи - приемки Товара</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lastRenderedPageBreak/>
              <w:t>6.</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Размер обеспечения исполнения договора</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Pr="00D2494F" w:rsidRDefault="00D2494F" w:rsidP="00A936D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НМЦД</w:t>
            </w:r>
          </w:p>
        </w:tc>
      </w:tr>
      <w:tr w:rsidR="004D70A6">
        <w:tc>
          <w:tcPr>
            <w:tcW w:w="1069"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7.</w:t>
            </w:r>
          </w:p>
        </w:tc>
        <w:tc>
          <w:tcPr>
            <w:tcW w:w="4436" w:type="dxa"/>
            <w:gridSpan w:val="2"/>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Требования к гарантийному сроку товара и (или) объему предоставления гарантий их качества (в случае установления указанных требований)</w:t>
            </w:r>
          </w:p>
        </w:tc>
        <w:tc>
          <w:tcPr>
            <w:tcW w:w="4111" w:type="dxa"/>
            <w:tcBorders>
              <w:top w:val="single" w:sz="4" w:space="0" w:color="000000"/>
              <w:left w:val="single" w:sz="4" w:space="0" w:color="000000"/>
              <w:bottom w:val="single" w:sz="4" w:space="0" w:color="000000"/>
              <w:right w:val="single" w:sz="4" w:space="0" w:color="000000"/>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Поставщик гарантирует качество и безопасность поставляемого Товара в соответствии с настоящим договором, в объеме, указанном в Спецификации,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tc>
      </w:tr>
    </w:tbl>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Liberation Serif" w:eastAsia="Times New Roman" w:hAnsi="Liberation Serif" w:cs="Liberation Serif"/>
          <w:color w:val="000000"/>
          <w:sz w:val="27"/>
          <w:szCs w:val="27"/>
          <w:lang w:eastAsia="ru-RU"/>
        </w:rPr>
      </w:pPr>
      <w:r>
        <w:rPr>
          <w:rFonts w:ascii="Liberation Serif" w:eastAsia="Times New Roman" w:hAnsi="Liberation Serif" w:cs="Liberation Serif"/>
          <w:color w:val="000000"/>
          <w:sz w:val="27"/>
          <w:szCs w:val="27"/>
          <w:lang w:eastAsia="ru-RU"/>
        </w:rPr>
        <w:tab/>
        <w:t>Перечень сведений (основные характеристики), необходимых для определения идентичности или однородности товара, работы, услуги, предлагаемых поставщиком (подрядчиком, исполнителем):указаны в табличной части.</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Сроки предоставления ценовой информации: до 1</w:t>
      </w:r>
      <w:r w:rsidR="00FD374C">
        <w:rPr>
          <w:rFonts w:ascii="Liberation Serif" w:eastAsia="Times New Roman" w:hAnsi="Liberation Serif" w:cs="Liberation Serif"/>
          <w:color w:val="000000"/>
          <w:sz w:val="27"/>
          <w:szCs w:val="27"/>
          <w:lang w:eastAsia="ru-RU"/>
        </w:rPr>
        <w:t>0</w:t>
      </w:r>
      <w:r>
        <w:rPr>
          <w:rFonts w:ascii="Liberation Serif" w:eastAsia="Times New Roman" w:hAnsi="Liberation Serif" w:cs="Liberation Serif"/>
          <w:color w:val="000000"/>
          <w:sz w:val="27"/>
          <w:szCs w:val="27"/>
          <w:lang w:eastAsia="ru-RU"/>
        </w:rPr>
        <w:t xml:space="preserve">:00 </w:t>
      </w:r>
      <w:r w:rsidR="00D2494F">
        <w:rPr>
          <w:rFonts w:ascii="Liberation Serif" w:eastAsia="Times New Roman" w:hAnsi="Liberation Serif" w:cs="Liberation Serif"/>
          <w:color w:val="000000"/>
          <w:sz w:val="27"/>
          <w:szCs w:val="27"/>
          <w:lang w:eastAsia="ru-RU"/>
        </w:rPr>
        <w:t>24</w:t>
      </w:r>
      <w:r w:rsidR="00AC1BE5">
        <w:rPr>
          <w:rFonts w:ascii="Liberation Serif" w:eastAsia="Times New Roman" w:hAnsi="Liberation Serif" w:cs="Liberation Serif"/>
          <w:color w:val="000000"/>
          <w:sz w:val="27"/>
          <w:szCs w:val="27"/>
          <w:lang w:eastAsia="ru-RU"/>
        </w:rPr>
        <w:t>.12</w:t>
      </w:r>
      <w:r w:rsidR="00552881">
        <w:rPr>
          <w:rFonts w:ascii="Liberation Serif" w:eastAsia="Times New Roman" w:hAnsi="Liberation Serif" w:cs="Liberation Serif"/>
          <w:color w:val="000000"/>
          <w:sz w:val="27"/>
          <w:szCs w:val="27"/>
          <w:lang w:eastAsia="ru-RU"/>
        </w:rPr>
        <w:t>.2024</w:t>
      </w:r>
      <w:r>
        <w:rPr>
          <w:rFonts w:ascii="Liberation Serif" w:eastAsia="Times New Roman" w:hAnsi="Liberation Serif" w:cs="Liberation Serif"/>
          <w:color w:val="000000"/>
          <w:sz w:val="27"/>
          <w:szCs w:val="27"/>
          <w:lang w:eastAsia="ru-RU"/>
        </w:rPr>
        <w:t xml:space="preserve"> года.</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Из ответа на запрос о предоставлении ценовой информации в отношении товара для определения начальной (максимальной) цены договора (далее – запрос) должны однозначно определяться:</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 цена единицы товара и общая цена договора на условиях, указанных в запросе;</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2) срок действия предлагаемой цены;</w:t>
      </w:r>
    </w:p>
    <w:p w:rsidR="004D70A6" w:rsidRPr="005568EA"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3) расчет предлагаемой цены с целью предупреждения намеренного завышения или занижения цен товаров;</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4) включает ли цена товара НДС или цена товара указана без учета НДС (если организация не является плательщиком НДС);</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5) включает ли цена товара в себя все затраты, необходимые для исполнения обязательств по договору, указанные в запросе о предоставлении ценовой информации (расходы на перевозку, страхование, уплату таможенных пошлин, налогов и других обязательных платежей).</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lastRenderedPageBreak/>
        <w:t xml:space="preserve">Проведение данной процедуры сбора информации не влечет за собой возникновение каких-либо обязательств заказчика.   </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567"/>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При подготовке ответа на запрос о предоставлении ценовой информации следует учитывать, что цена договора может указываться как с учетом, так и без учета расходов на перевозку, страхование, уплату таможенных пошлин, налогов и других обязательных платежей; начальная (максимальная) цена договора может выражаться в иностранной валюте.</w:t>
      </w:r>
    </w:p>
    <w:p w:rsidR="00FD374C" w:rsidRDefault="00FD374C">
      <w:pPr>
        <w:pBdr>
          <w:top w:val="nil"/>
          <w:left w:val="nil"/>
          <w:bottom w:val="nil"/>
          <w:right w:val="nil"/>
          <w:between w:val="nil"/>
        </w:pBdr>
        <w:shd w:val="solid" w:color="FFFFFF" w:fill="auto"/>
        <w:tabs>
          <w:tab w:val="left" w:pos="708"/>
          <w:tab w:val="left" w:pos="5671"/>
          <w:tab w:val="left" w:pos="6946"/>
        </w:tabs>
        <w:spacing w:after="0" w:line="240" w:lineRule="auto"/>
        <w:ind w:firstLine="709"/>
        <w:jc w:val="both"/>
        <w:rPr>
          <w:rFonts w:ascii="Liberation Serif" w:eastAsia="Times New Roman" w:hAnsi="Liberation Serif" w:cs="Liberation Serif"/>
          <w:color w:val="000000"/>
          <w:sz w:val="27"/>
          <w:szCs w:val="27"/>
          <w:lang w:eastAsia="ru-RU"/>
        </w:rPr>
      </w:pPr>
      <w:r>
        <w:rPr>
          <w:rFonts w:ascii="Liberation Serif" w:eastAsia="Times New Roman" w:hAnsi="Liberation Serif" w:cs="Liberation Serif"/>
          <w:color w:val="000000"/>
          <w:sz w:val="27"/>
          <w:szCs w:val="27"/>
          <w:lang w:eastAsia="ru-RU"/>
        </w:rPr>
        <w:t xml:space="preserve">Запрашиваемую информацию необходимо направить по адресу: 624022, Свердловской области, г. Сысерть, улица Коммуны, 69 каб. 306 и (или) на электронную почту в формате </w:t>
      </w:r>
      <w:r>
        <w:rPr>
          <w:rFonts w:ascii="Liberation Serif" w:eastAsia="Times New Roman" w:hAnsi="Liberation Serif" w:cs="Liberation Serif"/>
          <w:color w:val="000000"/>
          <w:sz w:val="27"/>
          <w:szCs w:val="27"/>
          <w:lang w:val="en-US" w:eastAsia="ru-RU"/>
        </w:rPr>
        <w:t>PDF</w:t>
      </w:r>
      <w:r>
        <w:rPr>
          <w:rFonts w:ascii="Liberation Serif" w:eastAsia="Times New Roman" w:hAnsi="Liberation Serif" w:cs="Liberation Serif"/>
          <w:color w:val="000000"/>
          <w:sz w:val="27"/>
          <w:szCs w:val="27"/>
          <w:lang w:eastAsia="ru-RU"/>
        </w:rPr>
        <w:t xml:space="preserve">: crb-zakupki@bk.ru, и (или) посредством </w:t>
      </w:r>
      <w:r w:rsidRPr="00CB0C6A">
        <w:rPr>
          <w:rFonts w:ascii="Liberation Serif" w:eastAsia="Times New Roman" w:hAnsi="Liberation Serif" w:cs="Liberation Serif"/>
          <w:color w:val="000000"/>
          <w:sz w:val="27"/>
          <w:szCs w:val="27"/>
          <w:lang w:eastAsia="ru-RU"/>
        </w:rPr>
        <w:t>региональн</w:t>
      </w:r>
      <w:r>
        <w:rPr>
          <w:rFonts w:ascii="Liberation Serif" w:eastAsia="Times New Roman" w:hAnsi="Liberation Serif" w:cs="Liberation Serif"/>
          <w:color w:val="000000"/>
          <w:sz w:val="27"/>
          <w:szCs w:val="27"/>
          <w:lang w:eastAsia="ru-RU"/>
        </w:rPr>
        <w:t>ой</w:t>
      </w:r>
      <w:r w:rsidRPr="00CB0C6A">
        <w:rPr>
          <w:rFonts w:ascii="Liberation Serif" w:eastAsia="Times New Roman" w:hAnsi="Liberation Serif" w:cs="Liberation Serif"/>
          <w:color w:val="000000"/>
          <w:sz w:val="27"/>
          <w:szCs w:val="27"/>
          <w:lang w:eastAsia="ru-RU"/>
        </w:rPr>
        <w:t xml:space="preserve"> информационн</w:t>
      </w:r>
      <w:r>
        <w:rPr>
          <w:rFonts w:ascii="Liberation Serif" w:eastAsia="Times New Roman" w:hAnsi="Liberation Serif" w:cs="Liberation Serif"/>
          <w:color w:val="000000"/>
          <w:sz w:val="27"/>
          <w:szCs w:val="27"/>
          <w:lang w:eastAsia="ru-RU"/>
        </w:rPr>
        <w:t>ой</w:t>
      </w:r>
      <w:r w:rsidRPr="00CB0C6A">
        <w:rPr>
          <w:rFonts w:ascii="Liberation Serif" w:eastAsia="Times New Roman" w:hAnsi="Liberation Serif" w:cs="Liberation Serif"/>
          <w:color w:val="000000"/>
          <w:sz w:val="27"/>
          <w:szCs w:val="27"/>
          <w:lang w:eastAsia="ru-RU"/>
        </w:rPr>
        <w:t xml:space="preserve"> систем</w:t>
      </w:r>
      <w:r>
        <w:rPr>
          <w:rFonts w:ascii="Liberation Serif" w:eastAsia="Times New Roman" w:hAnsi="Liberation Serif" w:cs="Liberation Serif"/>
          <w:color w:val="000000"/>
          <w:sz w:val="27"/>
          <w:szCs w:val="27"/>
          <w:lang w:eastAsia="ru-RU"/>
        </w:rPr>
        <w:t>ы</w:t>
      </w:r>
      <w:r w:rsidRPr="00CB0C6A">
        <w:rPr>
          <w:rFonts w:ascii="Liberation Serif" w:eastAsia="Times New Roman" w:hAnsi="Liberation Serif" w:cs="Liberation Serif"/>
          <w:color w:val="000000"/>
          <w:sz w:val="27"/>
          <w:szCs w:val="27"/>
          <w:lang w:eastAsia="ru-RU"/>
        </w:rPr>
        <w:t xml:space="preserve"> в сфере закупок Свердловской области</w:t>
      </w:r>
      <w:r>
        <w:rPr>
          <w:rFonts w:ascii="Liberation Serif" w:eastAsia="Times New Roman" w:hAnsi="Liberation Serif" w:cs="Liberation Serif"/>
          <w:color w:val="000000"/>
          <w:sz w:val="27"/>
          <w:szCs w:val="27"/>
          <w:lang w:eastAsia="ru-RU"/>
        </w:rPr>
        <w:t>.</w:t>
      </w:r>
    </w:p>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9571" w:type="dxa"/>
        <w:tblLook w:val="04A0" w:firstRow="1" w:lastRow="0" w:firstColumn="1" w:lastColumn="0" w:noHBand="0" w:noVBand="1"/>
      </w:tblPr>
      <w:tblGrid>
        <w:gridCol w:w="1933"/>
        <w:gridCol w:w="7638"/>
      </w:tblGrid>
      <w:tr w:rsidR="004D70A6">
        <w:tc>
          <w:tcPr>
            <w:tcW w:w="1933" w:type="dxa"/>
            <w:tcBorders>
              <w:top w:val="nil"/>
              <w:left w:val="nil"/>
              <w:bottom w:val="nil"/>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Приложение:</w:t>
            </w:r>
          </w:p>
        </w:tc>
        <w:tc>
          <w:tcPr>
            <w:tcW w:w="7638" w:type="dxa"/>
            <w:tcBorders>
              <w:top w:val="nil"/>
              <w:left w:val="nil"/>
              <w:bottom w:val="nil"/>
              <w:right w:val="nil"/>
            </w:tcBorders>
            <w:shd w:val="solid" w:color="FFFFFF" w:fill="auto"/>
            <w:vAlign w:val="center"/>
          </w:tcPr>
          <w:p w:rsidR="004D70A6" w:rsidRDefault="004D70A6">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p>
        </w:tc>
      </w:tr>
      <w:tr w:rsidR="004D70A6">
        <w:tc>
          <w:tcPr>
            <w:tcW w:w="1933" w:type="dxa"/>
            <w:tcBorders>
              <w:top w:val="nil"/>
              <w:left w:val="nil"/>
              <w:bottom w:val="nil"/>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7638" w:type="dxa"/>
            <w:tcBorders>
              <w:top w:val="nil"/>
              <w:left w:val="nil"/>
              <w:bottom w:val="nil"/>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Liberation Serif" w:eastAsia="Times New Roman" w:hAnsi="Liberation Serif" w:cs="Liberation Serif"/>
                <w:color w:val="000000"/>
                <w:sz w:val="27"/>
                <w:szCs w:val="27"/>
                <w:lang w:eastAsia="ru-RU"/>
              </w:rPr>
              <w:t>1. Форма ответа на запрос о предоставлении ценовой информации на 1 л. в 1 экз.</w:t>
            </w:r>
          </w:p>
        </w:tc>
      </w:tr>
    </w:tbl>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9571" w:type="dxa"/>
        <w:tblLook w:val="04A0" w:firstRow="1" w:lastRow="0" w:firstColumn="1" w:lastColumn="0" w:noHBand="0" w:noVBand="1"/>
      </w:tblPr>
      <w:tblGrid>
        <w:gridCol w:w="3982"/>
        <w:gridCol w:w="2400"/>
        <w:gridCol w:w="3189"/>
      </w:tblGrid>
      <w:tr w:rsidR="004D70A6">
        <w:tc>
          <w:tcPr>
            <w:tcW w:w="3982" w:type="dxa"/>
            <w:tcBorders>
              <w:top w:val="nil"/>
              <w:left w:val="nil"/>
              <w:bottom w:val="nil"/>
              <w:right w:val="nil"/>
            </w:tcBorders>
            <w:shd w:val="solid" w:color="FFFFFF" w:fill="auto"/>
            <w:vAlign w:val="center"/>
          </w:tcPr>
          <w:p w:rsidR="004D70A6" w:rsidRDefault="004D70A6">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p>
        </w:tc>
        <w:tc>
          <w:tcPr>
            <w:tcW w:w="2400" w:type="dxa"/>
            <w:tcBorders>
              <w:top w:val="nil"/>
              <w:left w:val="nil"/>
              <w:bottom w:val="nil"/>
              <w:right w:val="nil"/>
            </w:tcBorders>
            <w:shd w:val="solid" w:color="FFFFFF" w:fill="auto"/>
            <w:vAlign w:val="center"/>
          </w:tcPr>
          <w:p w:rsidR="004D70A6" w:rsidRDefault="004D70A6">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p>
        </w:tc>
        <w:tc>
          <w:tcPr>
            <w:tcW w:w="3189" w:type="dxa"/>
            <w:tcBorders>
              <w:top w:val="nil"/>
              <w:left w:val="nil"/>
              <w:bottom w:val="nil"/>
              <w:right w:val="nil"/>
            </w:tcBorders>
            <w:shd w:val="solid" w:color="FFFFFF" w:fill="auto"/>
            <w:vAlign w:val="center"/>
          </w:tcPr>
          <w:p w:rsidR="004D70A6" w:rsidRDefault="004D70A6">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p>
        </w:tc>
      </w:tr>
      <w:tr w:rsidR="004D70A6">
        <w:tc>
          <w:tcPr>
            <w:tcW w:w="3982" w:type="dxa"/>
            <w:tcBorders>
              <w:top w:val="nil"/>
              <w:left w:val="nil"/>
              <w:bottom w:val="nil"/>
              <w:right w:val="nil"/>
            </w:tcBorders>
            <w:shd w:val="solid" w:color="FFFFFF" w:fill="auto"/>
            <w:vAlign w:val="center"/>
          </w:tcPr>
          <w:p w:rsidR="004D70A6" w:rsidRDefault="00C31CB5">
            <w:pPr>
              <w:pBdr>
                <w:top w:val="nil"/>
                <w:left w:val="nil"/>
                <w:bottom w:val="nil"/>
                <w:right w:val="nil"/>
                <w:between w:val="nil"/>
              </w:pBdr>
              <w:shd w:val="solid" w:color="FFFFFF" w:fill="auto"/>
              <w:tabs>
                <w:tab w:val="left" w:pos="708"/>
                <w:tab w:val="left" w:pos="5671"/>
                <w:tab w:val="left" w:pos="6946"/>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c>
          <w:tcPr>
            <w:tcW w:w="2400" w:type="dxa"/>
            <w:tcBorders>
              <w:top w:val="nil"/>
              <w:left w:val="nil"/>
              <w:bottom w:val="nil"/>
              <w:right w:val="nil"/>
            </w:tcBorders>
            <w:shd w:val="solid" w:color="FFFFFF" w:fill="auto"/>
            <w:vAlign w:val="center"/>
          </w:tcPr>
          <w:p w:rsidR="004D70A6" w:rsidRDefault="004D70A6">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tc>
        <w:tc>
          <w:tcPr>
            <w:tcW w:w="3189" w:type="dxa"/>
            <w:tcBorders>
              <w:top w:val="nil"/>
              <w:left w:val="nil"/>
              <w:bottom w:val="nil"/>
              <w:right w:val="nil"/>
            </w:tcBorders>
            <w:shd w:val="solid" w:color="FFFFFF" w:fill="auto"/>
            <w:vAlign w:val="center"/>
          </w:tcPr>
          <w:p w:rsidR="004D70A6" w:rsidRDefault="004D70A6">
            <w:pPr>
              <w:pBdr>
                <w:top w:val="nil"/>
                <w:left w:val="nil"/>
                <w:bottom w:val="nil"/>
                <w:right w:val="nil"/>
                <w:between w:val="nil"/>
              </w:pBdr>
              <w:shd w:val="solid" w:color="FFFFFF" w:fill="auto"/>
              <w:tabs>
                <w:tab w:val="left" w:pos="708"/>
                <w:tab w:val="left" w:pos="5671"/>
                <w:tab w:val="left" w:pos="6946"/>
              </w:tabs>
              <w:spacing w:after="0" w:line="240" w:lineRule="auto"/>
              <w:jc w:val="center"/>
              <w:rPr>
                <w:rFonts w:ascii="Times New Roman" w:eastAsia="Times New Roman" w:hAnsi="Times New Roman" w:cs="Times New Roman"/>
                <w:sz w:val="24"/>
                <w:szCs w:val="24"/>
                <w:lang w:eastAsia="ru-RU"/>
              </w:rPr>
            </w:pPr>
          </w:p>
        </w:tc>
      </w:tr>
    </w:tbl>
    <w:p w:rsidR="004D70A6" w:rsidRDefault="004D70A6"/>
    <w:sectPr w:rsidR="004D70A6">
      <w:pgSz w:w="11906" w:h="16838"/>
      <w:pgMar w:top="1134" w:right="850" w:bottom="1134"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759" w:rsidRDefault="00CB5759" w:rsidP="00E14AA8">
      <w:pPr>
        <w:spacing w:after="0" w:line="240" w:lineRule="auto"/>
      </w:pPr>
      <w:r>
        <w:separator/>
      </w:r>
    </w:p>
  </w:endnote>
  <w:endnote w:type="continuationSeparator" w:id="0">
    <w:p w:rsidR="00CB5759" w:rsidRDefault="00CB5759" w:rsidP="00E14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Benguiat">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Liberation Serif">
    <w:altName w:val="Cambria"/>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759" w:rsidRDefault="00CB5759" w:rsidP="00E14AA8">
      <w:pPr>
        <w:spacing w:after="0" w:line="240" w:lineRule="auto"/>
      </w:pPr>
      <w:r>
        <w:separator/>
      </w:r>
    </w:p>
  </w:footnote>
  <w:footnote w:type="continuationSeparator" w:id="0">
    <w:p w:rsidR="00CB5759" w:rsidRDefault="00CB5759" w:rsidP="00E14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283"/>
  <w:drawingGridVerticalSpacing w:val="283"/>
  <w:characterSpacingControl w:val="doNotCompress"/>
  <w:footnotePr>
    <w:footnote w:id="-1"/>
    <w:footnote w:id="0"/>
  </w:footnotePr>
  <w:endnotePr>
    <w:endnote w:id="-1"/>
    <w:endnote w:id="0"/>
  </w:endnotePr>
  <w:compat>
    <w:compatSetting w:name="compatibilityMode" w:uri="http://schemas.microsoft.com/office/word" w:val="12"/>
  </w:compat>
  <w:rsids>
    <w:rsidRoot w:val="004D70A6"/>
    <w:rsid w:val="001E6045"/>
    <w:rsid w:val="0034430C"/>
    <w:rsid w:val="004D70A6"/>
    <w:rsid w:val="005337F8"/>
    <w:rsid w:val="00552881"/>
    <w:rsid w:val="005568EA"/>
    <w:rsid w:val="00612566"/>
    <w:rsid w:val="00774A20"/>
    <w:rsid w:val="00857849"/>
    <w:rsid w:val="0093066C"/>
    <w:rsid w:val="00A936D5"/>
    <w:rsid w:val="00AC1BE5"/>
    <w:rsid w:val="00B116F3"/>
    <w:rsid w:val="00B16A83"/>
    <w:rsid w:val="00C31CB5"/>
    <w:rsid w:val="00CB5759"/>
    <w:rsid w:val="00D2494F"/>
    <w:rsid w:val="00E14AA8"/>
    <w:rsid w:val="00FD3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B2DD"/>
  <w15:docId w15:val="{58CF2D67-7431-4F94-9E13-993150755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5568EA"/>
    <w:pPr>
      <w:keepNext/>
      <w:spacing w:after="0" w:line="240" w:lineRule="auto"/>
      <w:outlineLvl w:val="0"/>
    </w:pPr>
    <w:rPr>
      <w:rFonts w:ascii="Benguiat" w:eastAsia="Times New Roman" w:hAnsi="Benguiat" w:cs="Benguiat"/>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rPr>
      <w:color w:val="0000FF"/>
      <w:u w:val="single"/>
    </w:rPr>
  </w:style>
  <w:style w:type="paragraph" w:styleId="a5">
    <w:name w:val="footnote text"/>
    <w:basedOn w:val="a"/>
    <w:link w:val="a6"/>
    <w:rsid w:val="00E14AA8"/>
    <w:pPr>
      <w:suppressAutoHyphens/>
      <w:autoSpaceDN w:val="0"/>
      <w:spacing w:after="0" w:line="240" w:lineRule="auto"/>
      <w:textAlignment w:val="baseline"/>
    </w:pPr>
    <w:rPr>
      <w:rFonts w:cs="Times New Roman"/>
      <w:sz w:val="20"/>
      <w:szCs w:val="20"/>
    </w:rPr>
  </w:style>
  <w:style w:type="character" w:customStyle="1" w:styleId="a6">
    <w:name w:val="Текст сноски Знак"/>
    <w:basedOn w:val="a0"/>
    <w:link w:val="a5"/>
    <w:rsid w:val="00E14AA8"/>
    <w:rPr>
      <w:rFonts w:cs="Times New Roman"/>
      <w:sz w:val="20"/>
      <w:szCs w:val="20"/>
    </w:rPr>
  </w:style>
  <w:style w:type="character" w:customStyle="1" w:styleId="10">
    <w:name w:val="Заголовок 1 Знак"/>
    <w:basedOn w:val="a0"/>
    <w:link w:val="1"/>
    <w:uiPriority w:val="99"/>
    <w:rsid w:val="005568EA"/>
    <w:rPr>
      <w:rFonts w:ascii="Benguiat" w:eastAsia="Times New Roman" w:hAnsi="Benguiat" w:cs="Benguiat"/>
      <w:b/>
      <w:bCs/>
      <w:sz w:val="32"/>
      <w:szCs w:val="32"/>
      <w:lang w:eastAsia="ru-RU"/>
    </w:rPr>
  </w:style>
  <w:style w:type="paragraph" w:customStyle="1" w:styleId="a7">
    <w:name w:val="Содержимое таблицы"/>
    <w:basedOn w:val="a"/>
    <w:uiPriority w:val="99"/>
    <w:rsid w:val="005568EA"/>
    <w:pPr>
      <w:widowControl w:val="0"/>
      <w:suppressLineNumbers/>
      <w:suppressAutoHyphens/>
      <w:spacing w:after="0" w:line="240" w:lineRule="auto"/>
    </w:pPr>
    <w:rPr>
      <w:rFonts w:ascii="Times New Roman" w:hAnsi="Times New Roman" w:cs="Times New Roman"/>
      <w:kern w:val="2"/>
      <w:sz w:val="24"/>
      <w:szCs w:val="24"/>
      <w:lang w:eastAsia="ru-RU"/>
    </w:rPr>
  </w:style>
  <w:style w:type="character" w:customStyle="1" w:styleId="e29067e5dbe88132ca60788a0e68b108">
    <w:name w:val="e29067e5dbe88132ca60788a0e68b108"/>
    <w:rsid w:val="00556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657536">
      <w:bodyDiv w:val="1"/>
      <w:marLeft w:val="0"/>
      <w:marRight w:val="0"/>
      <w:marTop w:val="0"/>
      <w:marBottom w:val="0"/>
      <w:divBdr>
        <w:top w:val="none" w:sz="0" w:space="0" w:color="auto"/>
        <w:left w:val="none" w:sz="0" w:space="0" w:color="auto"/>
        <w:bottom w:val="none" w:sz="0" w:space="0" w:color="auto"/>
        <w:right w:val="none" w:sz="0" w:space="0" w:color="auto"/>
      </w:divBdr>
    </w:div>
    <w:div w:id="632952894">
      <w:bodyDiv w:val="1"/>
      <w:marLeft w:val="0"/>
      <w:marRight w:val="0"/>
      <w:marTop w:val="0"/>
      <w:marBottom w:val="0"/>
      <w:divBdr>
        <w:top w:val="none" w:sz="0" w:space="0" w:color="auto"/>
        <w:left w:val="none" w:sz="0" w:space="0" w:color="auto"/>
        <w:bottom w:val="none" w:sz="0" w:space="0" w:color="auto"/>
        <w:right w:val="none" w:sz="0" w:space="0" w:color="auto"/>
      </w:divBdr>
    </w:div>
    <w:div w:id="905529474">
      <w:bodyDiv w:val="1"/>
      <w:marLeft w:val="0"/>
      <w:marRight w:val="0"/>
      <w:marTop w:val="0"/>
      <w:marBottom w:val="0"/>
      <w:divBdr>
        <w:top w:val="none" w:sz="0" w:space="0" w:color="auto"/>
        <w:left w:val="none" w:sz="0" w:space="0" w:color="auto"/>
        <w:bottom w:val="none" w:sz="0" w:space="0" w:color="auto"/>
        <w:right w:val="none" w:sz="0" w:space="0" w:color="auto"/>
      </w:divBdr>
    </w:div>
    <w:div w:id="940603184">
      <w:bodyDiv w:val="1"/>
      <w:marLeft w:val="0"/>
      <w:marRight w:val="0"/>
      <w:marTop w:val="0"/>
      <w:marBottom w:val="0"/>
      <w:divBdr>
        <w:top w:val="none" w:sz="0" w:space="0" w:color="auto"/>
        <w:left w:val="none" w:sz="0" w:space="0" w:color="auto"/>
        <w:bottom w:val="none" w:sz="0" w:space="0" w:color="auto"/>
        <w:right w:val="none" w:sz="0" w:space="0" w:color="auto"/>
      </w:divBdr>
    </w:div>
    <w:div w:id="172236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rb-2@sysert.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484</TotalTime>
  <Pages>5</Pages>
  <Words>1339</Words>
  <Characters>7635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gorkovskya</cp:lastModifiedBy>
  <cp:revision>36</cp:revision>
  <cp:lastPrinted>2021-10-14T11:46:00Z</cp:lastPrinted>
  <dcterms:created xsi:type="dcterms:W3CDTF">2021-10-14T11:07:00Z</dcterms:created>
  <dcterms:modified xsi:type="dcterms:W3CDTF">2024-12-22T11:28:00Z</dcterms:modified>
</cp:coreProperties>
</file>