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EB" w:rsidRPr="00116C89" w:rsidRDefault="00BB48EB" w:rsidP="00BB48EB">
      <w:pPr>
        <w:pStyle w:val="a4"/>
        <w:jc w:val="center"/>
        <w:rPr>
          <w:rFonts w:ascii="Liberation Serif" w:hAnsi="Liberation Serif"/>
          <w:b/>
          <w:i/>
        </w:rPr>
      </w:pPr>
      <w:r w:rsidRPr="00116C89">
        <w:rPr>
          <w:rFonts w:ascii="Liberation Serif" w:hAnsi="Liberation Serif"/>
          <w:b/>
          <w:i/>
        </w:rPr>
        <w:t>Часть II. «Описание объекта закупки»</w:t>
      </w:r>
    </w:p>
    <w:p w:rsidR="00216D9D" w:rsidRPr="00116C89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16C89">
        <w:rPr>
          <w:rFonts w:ascii="Liberation Serif" w:hAnsi="Liberation Serif" w:cs="Times New Roman"/>
          <w:b/>
          <w:sz w:val="24"/>
          <w:szCs w:val="24"/>
        </w:rPr>
        <w:t>Описание объекта закупки</w:t>
      </w:r>
    </w:p>
    <w:p w:rsidR="00216D9D" w:rsidRPr="00116C89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16C89">
        <w:rPr>
          <w:rFonts w:ascii="Liberation Serif" w:hAnsi="Liberation Serif" w:cs="Times New Roman"/>
          <w:b/>
          <w:sz w:val="24"/>
          <w:szCs w:val="24"/>
        </w:rPr>
        <w:t>(Задание на поставку товара, техническое задание)</w:t>
      </w:r>
    </w:p>
    <w:p w:rsidR="002E5ABB" w:rsidRPr="00CD5737" w:rsidRDefault="002E5ABB" w:rsidP="002E5AB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492"/>
        <w:gridCol w:w="1276"/>
        <w:gridCol w:w="2268"/>
      </w:tblGrid>
      <w:tr w:rsidR="002E5ABB" w:rsidRPr="00152B97" w:rsidTr="00813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BB" w:rsidRPr="00152B97" w:rsidRDefault="002E5ABB" w:rsidP="00813713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ind w:left="-113"/>
              <w:jc w:val="center"/>
              <w:rPr>
                <w:rFonts w:ascii="Liberation Serif" w:hAnsi="Liberation Serif" w:cs="Times New Roman"/>
                <w:b/>
                <w:color w:val="000000" w:themeColor="text1"/>
                <w:sz w:val="20"/>
                <w:szCs w:val="20"/>
              </w:rPr>
            </w:pPr>
            <w:r w:rsidRPr="00152B97">
              <w:rPr>
                <w:rFonts w:ascii="Liberation Serif" w:hAnsi="Liberation Serif" w:cs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152B97">
              <w:rPr>
                <w:rFonts w:ascii="Liberation Serif" w:hAnsi="Liberation Serif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152B97">
              <w:rPr>
                <w:rFonts w:ascii="Liberation Serif" w:hAnsi="Liberation Serif" w:cs="Times New Roman"/>
                <w:b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BB" w:rsidRPr="00152B97" w:rsidRDefault="002E5ABB" w:rsidP="00813713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52B97">
              <w:rPr>
                <w:rFonts w:ascii="Liberation Serif" w:hAnsi="Liberation Serif" w:cs="Times New Roman"/>
                <w:b/>
                <w:bCs/>
                <w:color w:val="000000" w:themeColor="text1"/>
                <w:sz w:val="20"/>
                <w:szCs w:val="20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BB" w:rsidRPr="00152B97" w:rsidRDefault="002E5ABB" w:rsidP="00813713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52B97">
              <w:rPr>
                <w:rFonts w:ascii="Liberation Serif" w:hAnsi="Liberation Serif" w:cs="Times New Roman"/>
                <w:b/>
                <w:bCs/>
                <w:color w:val="000000" w:themeColor="text1"/>
                <w:sz w:val="20"/>
                <w:szCs w:val="20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BB" w:rsidRPr="00152B97" w:rsidRDefault="002E5ABB" w:rsidP="006A614B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52B97">
              <w:rPr>
                <w:rFonts w:ascii="Liberation Serif" w:hAnsi="Liberation Serif" w:cs="Times New Roman"/>
                <w:b/>
                <w:bCs/>
                <w:color w:val="000000" w:themeColor="text1"/>
                <w:sz w:val="20"/>
                <w:szCs w:val="20"/>
              </w:rPr>
              <w:t>Количество единиц измерения</w:t>
            </w:r>
            <w:r w:rsidR="001C558D">
              <w:rPr>
                <w:rFonts w:ascii="Liberation Serif" w:hAnsi="Liberation Serif" w:cs="Times New Roman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</w:tr>
      <w:tr w:rsidR="007B7ED7" w:rsidRPr="00152B97" w:rsidTr="00C56C4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D7" w:rsidRPr="00152B97" w:rsidRDefault="007B7ED7" w:rsidP="00813713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152B97">
              <w:rPr>
                <w:rFonts w:ascii="Liberation Serif" w:eastAsia="Calibri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Катетер диагностический селективный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D7" w:rsidRPr="00870910" w:rsidRDefault="007B7ED7" w:rsidP="00870910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870910">
              <w:rPr>
                <w:rFonts w:ascii="Liberation Serif" w:eastAsia="Calibri" w:hAnsi="Liberation Serif" w:cs="Times New Roman"/>
                <w:sz w:val="20"/>
                <w:szCs w:val="20"/>
              </w:rPr>
              <w:t>штук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ED7" w:rsidRPr="002A03EE" w:rsidRDefault="007B7ED7" w:rsidP="00C4593B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7B7ED7" w:rsidRPr="00152B97" w:rsidTr="00C56C4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D7" w:rsidRPr="00152B97" w:rsidRDefault="007B7ED7" w:rsidP="00813713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152B97">
              <w:rPr>
                <w:rFonts w:ascii="Liberation Serif" w:eastAsia="Calibri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Реперфузионный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катетер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D7" w:rsidRPr="00870910" w:rsidRDefault="007B7ED7" w:rsidP="00870910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870910">
              <w:rPr>
                <w:rFonts w:ascii="Liberation Serif" w:eastAsia="Calibri" w:hAnsi="Liberation Serif" w:cs="Times New Roman"/>
                <w:sz w:val="20"/>
                <w:szCs w:val="20"/>
              </w:rPr>
              <w:t>штук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ED7" w:rsidRPr="002A03EE" w:rsidRDefault="007B7ED7" w:rsidP="00870910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7B7ED7" w:rsidRPr="00152B97" w:rsidTr="00C56C4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D7" w:rsidRPr="00152B97" w:rsidRDefault="007B7ED7" w:rsidP="00813713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Канистра для аспирационной системы, многоразового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D7" w:rsidRPr="00870910" w:rsidRDefault="007B7ED7" w:rsidP="00870910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870910">
              <w:rPr>
                <w:rFonts w:ascii="Liberation Serif" w:eastAsia="Calibri" w:hAnsi="Liberation Serif" w:cs="Times New Roman"/>
                <w:sz w:val="20"/>
                <w:szCs w:val="20"/>
              </w:rPr>
              <w:t>штук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ED7" w:rsidRPr="002A03EE" w:rsidRDefault="007B7ED7" w:rsidP="00C4593B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7B7ED7" w:rsidRPr="00152B97" w:rsidTr="00C56C4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D7" w:rsidRPr="00152B97" w:rsidRDefault="007B7ED7" w:rsidP="00813713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Микрокатетер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для периферических/коронарных сосудов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D7" w:rsidRPr="00870910" w:rsidRDefault="007B7ED7" w:rsidP="00870910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870910">
              <w:rPr>
                <w:rFonts w:ascii="Liberation Serif" w:eastAsia="Calibri" w:hAnsi="Liberation Serif" w:cs="Times New Roman"/>
                <w:sz w:val="20"/>
                <w:szCs w:val="20"/>
              </w:rPr>
              <w:t>штук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ED7" w:rsidRPr="002A03EE" w:rsidRDefault="007B7ED7" w:rsidP="00C4593B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7B7ED7" w:rsidRPr="00152B97" w:rsidTr="00C56C4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D7" w:rsidRPr="00152B97" w:rsidRDefault="007B7ED7" w:rsidP="00813713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proofErr w:type="spell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Микрокатетер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для периферических/коронарных сосудов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D7" w:rsidRPr="00870910" w:rsidRDefault="007B7ED7" w:rsidP="00870910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870910">
              <w:rPr>
                <w:rFonts w:ascii="Liberation Serif" w:eastAsia="Calibri" w:hAnsi="Liberation Serif" w:cs="Times New Roman"/>
                <w:sz w:val="20"/>
                <w:szCs w:val="20"/>
              </w:rPr>
              <w:t>штук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ED7" w:rsidRPr="002A03EE" w:rsidRDefault="007B7ED7" w:rsidP="00C4593B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7B7ED7" w:rsidRPr="00152B97" w:rsidTr="00C56C4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D7" w:rsidRPr="00152B97" w:rsidRDefault="007B7ED7" w:rsidP="00813713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Катетер внутрисосудистый проводниковый, одноразового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D7" w:rsidRPr="00870910" w:rsidRDefault="007B7ED7" w:rsidP="00870910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870910">
              <w:rPr>
                <w:rFonts w:ascii="Liberation Serif" w:eastAsia="Calibri" w:hAnsi="Liberation Serif" w:cs="Times New Roman"/>
                <w:sz w:val="20"/>
                <w:szCs w:val="20"/>
              </w:rPr>
              <w:t>штук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ED7" w:rsidRPr="002A03EE" w:rsidRDefault="007B7ED7" w:rsidP="00C4593B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</w:tbl>
    <w:p w:rsidR="002E5ABB" w:rsidRPr="00CD5737" w:rsidRDefault="001C558D" w:rsidP="001C558D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1C558D">
        <w:rPr>
          <w:rFonts w:ascii="Times New Roman" w:hAnsi="Times New Roman" w:cs="Times New Roman"/>
          <w:b/>
          <w:color w:val="000000" w:themeColor="text1"/>
        </w:rPr>
        <w:t>*-количество товара определяется в заявках заказчика на поставку товара.</w:t>
      </w:r>
    </w:p>
    <w:p w:rsidR="001C558D" w:rsidRDefault="001C558D" w:rsidP="002E5A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2E5ABB" w:rsidRDefault="002E5ABB" w:rsidP="002E5A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bookmarkStart w:id="0" w:name="_GoBack"/>
      <w:bookmarkEnd w:id="0"/>
      <w:r w:rsidRPr="00116C89">
        <w:rPr>
          <w:rFonts w:ascii="Liberation Serif" w:hAnsi="Liberation Serif" w:cs="Times New Roman"/>
          <w:b/>
          <w:sz w:val="24"/>
          <w:szCs w:val="24"/>
        </w:rPr>
        <w:t>2. Требования к функциональным, техническим и качественным характеристикам, эксплуатационным характеристикам объекта закупки</w:t>
      </w:r>
      <w:r>
        <w:rPr>
          <w:rFonts w:ascii="Liberation Serif" w:hAnsi="Liberation Serif" w:cs="Times New Roman"/>
          <w:b/>
          <w:sz w:val="24"/>
          <w:szCs w:val="24"/>
        </w:rPr>
        <w:t xml:space="preserve"> (ниже в таблице)</w:t>
      </w:r>
    </w:p>
    <w:p w:rsidR="00813713" w:rsidRDefault="00813713" w:rsidP="002E5A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W w:w="10596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6943"/>
        <w:gridCol w:w="2887"/>
      </w:tblGrid>
      <w:tr w:rsidR="002756FB" w:rsidRPr="007B7ED7" w:rsidTr="007B7ED7">
        <w:trPr>
          <w:trHeight w:val="6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6FB" w:rsidRPr="007B7ED7" w:rsidRDefault="002756FB" w:rsidP="00F5548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7B7ED7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B7ED7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B7ED7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6FB" w:rsidRPr="007B7ED7" w:rsidRDefault="002756FB" w:rsidP="006B30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7B7ED7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FB" w:rsidRPr="007B7ED7" w:rsidRDefault="002756FB" w:rsidP="006B30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7B7ED7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Значение параметра (требование заказчика)</w:t>
            </w:r>
          </w:p>
        </w:tc>
      </w:tr>
      <w:tr w:rsidR="00870910" w:rsidRPr="007B7ED7" w:rsidTr="00F55480">
        <w:trPr>
          <w:trHeight w:val="253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10" w:rsidRPr="007B7ED7" w:rsidRDefault="00870910" w:rsidP="001F678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1.0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10" w:rsidRPr="007B7ED7" w:rsidRDefault="007B7ED7" w:rsidP="001F6783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Катетер ангиографический, одноразового использования</w:t>
            </w:r>
          </w:p>
        </w:tc>
      </w:tr>
      <w:tr w:rsidR="007B7ED7" w:rsidRPr="007B7ED7" w:rsidTr="007B7ED7">
        <w:trPr>
          <w:trHeight w:val="253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1.1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Предназначен для доставки </w:t>
            </w: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эндоваскулярных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 инструментов к сосудам головного мозга с целевым размещением в сегментах С</w:t>
            </w:r>
            <w:proofErr w:type="gram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1</w:t>
            </w:r>
            <w:proofErr w:type="gram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, C2 ВСА и V2 ПА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sz w:val="20"/>
                <w:szCs w:val="20"/>
              </w:rPr>
              <w:t>Наличие</w:t>
            </w:r>
          </w:p>
        </w:tc>
      </w:tr>
      <w:tr w:rsidR="007B7ED7" w:rsidRPr="007B7ED7" w:rsidTr="007B7ED7">
        <w:trPr>
          <w:trHeight w:val="253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1.2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Внутренний диаметр, дюйм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0,040</w:t>
            </w:r>
          </w:p>
        </w:tc>
      </w:tr>
      <w:tr w:rsidR="007B7ED7" w:rsidRPr="007B7ED7" w:rsidTr="007B7ED7">
        <w:trPr>
          <w:trHeight w:val="253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1.3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sz w:val="20"/>
                <w:szCs w:val="20"/>
              </w:rPr>
              <w:t xml:space="preserve">Варианты длины, </w:t>
            </w:r>
            <w:proofErr w:type="gramStart"/>
            <w:r w:rsidRPr="007B7ED7">
              <w:rPr>
                <w:rFonts w:ascii="Liberation Serif" w:hAnsi="Liberation Serif" w:cs="Calibri"/>
                <w:sz w:val="20"/>
                <w:szCs w:val="20"/>
              </w:rPr>
              <w:t>см</w:t>
            </w:r>
            <w:proofErr w:type="gramEnd"/>
            <w:r w:rsidRPr="007B7ED7">
              <w:rPr>
                <w:rFonts w:ascii="Liberation Serif" w:hAnsi="Liberation Serif" w:cs="Calibri"/>
                <w:sz w:val="20"/>
                <w:szCs w:val="20"/>
              </w:rPr>
              <w:t>: 105, 125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sz w:val="20"/>
                <w:szCs w:val="20"/>
              </w:rPr>
              <w:t>Наличие</w:t>
            </w:r>
          </w:p>
        </w:tc>
      </w:tr>
      <w:tr w:rsidR="007B7ED7" w:rsidRPr="007B7ED7" w:rsidTr="007B7ED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1.4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Длина эластичного дистального сегмента, </w:t>
            </w:r>
            <w:proofErr w:type="gram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не менее 9</w:t>
            </w:r>
          </w:p>
        </w:tc>
      </w:tr>
      <w:tr w:rsidR="007B7ED7" w:rsidRPr="007B7ED7" w:rsidTr="007B7ED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1.5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Форма дистального конца - SIM-V, SIM, BER, H1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Наличие</w:t>
            </w:r>
          </w:p>
        </w:tc>
      </w:tr>
      <w:tr w:rsidR="007B7ED7" w:rsidRPr="007B7ED7" w:rsidTr="007B7ED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1.6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Внешний диаметр проксимальный диаметр, </w:t>
            </w: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  <w:lang w:val="en-US"/>
              </w:rPr>
              <w:t>Fr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не менее 5.6</w:t>
            </w:r>
          </w:p>
        </w:tc>
      </w:tr>
      <w:tr w:rsidR="007B7ED7" w:rsidRPr="007B7ED7" w:rsidTr="007B7ED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1.7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Внешний диаметр дистальный диаметр, F</w:t>
            </w: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не менее 5</w:t>
            </w:r>
          </w:p>
        </w:tc>
      </w:tr>
      <w:tr w:rsidR="007B7ED7" w:rsidRPr="007B7ED7" w:rsidTr="007B7ED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1.8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Материал корпуса - двуслойный полимер "</w:t>
            </w: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Pebax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" со стальным армированием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Наличие</w:t>
            </w:r>
          </w:p>
        </w:tc>
      </w:tr>
      <w:tr w:rsidR="007B7ED7" w:rsidRPr="007B7ED7" w:rsidTr="007B7ED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1.9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Проксимальный конец оснащен адаптером типа </w:t>
            </w: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Льюер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 для присоединения инструментов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Наличие</w:t>
            </w:r>
          </w:p>
        </w:tc>
      </w:tr>
      <w:tr w:rsidR="007B7ED7" w:rsidRPr="007B7ED7" w:rsidTr="002B366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03078A">
            <w:pPr>
              <w:pStyle w:val="a8"/>
              <w:widowControl w:val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7B7ED7">
              <w:rPr>
                <w:rFonts w:ascii="Liberation Serif" w:hAnsi="Liberation Serif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CF14CF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proofErr w:type="spellStart"/>
            <w:r w:rsidRPr="007B7ED7">
              <w:rPr>
                <w:rFonts w:ascii="Liberation Serif" w:hAnsi="Liberation Serif"/>
                <w:b/>
                <w:bCs/>
                <w:sz w:val="20"/>
                <w:szCs w:val="20"/>
                <w:shd w:val="clear" w:color="auto" w:fill="FFFFFF"/>
              </w:rPr>
              <w:t>Реперфузионный</w:t>
            </w:r>
            <w:proofErr w:type="spellEnd"/>
            <w:r w:rsidRPr="007B7ED7">
              <w:rPr>
                <w:rFonts w:ascii="Liberation Serif" w:hAnsi="Liberation Serif"/>
                <w:b/>
                <w:bCs/>
                <w:sz w:val="20"/>
                <w:szCs w:val="20"/>
                <w:shd w:val="clear" w:color="auto" w:fill="FFFFFF"/>
              </w:rPr>
              <w:t xml:space="preserve"> катетер</w:t>
            </w:r>
          </w:p>
        </w:tc>
      </w:tr>
      <w:tr w:rsidR="007B7ED7" w:rsidRPr="007B7ED7" w:rsidTr="007B7ED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2.1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proofErr w:type="gramStart"/>
            <w:r w:rsidRPr="007B7ED7">
              <w:rPr>
                <w:rFonts w:ascii="Liberation Serif" w:hAnsi="Liberation Serif" w:cs="Calibri"/>
                <w:sz w:val="20"/>
                <w:szCs w:val="20"/>
              </w:rPr>
              <w:t>Предназначен</w:t>
            </w:r>
            <w:proofErr w:type="gramEnd"/>
            <w:r w:rsidRPr="007B7ED7">
              <w:rPr>
                <w:rFonts w:ascii="Liberation Serif" w:hAnsi="Liberation Serif" w:cs="Calibri"/>
                <w:sz w:val="20"/>
                <w:szCs w:val="20"/>
              </w:rPr>
              <w:t xml:space="preserve"> для </w:t>
            </w:r>
            <w:proofErr w:type="spellStart"/>
            <w:r w:rsidRPr="007B7ED7">
              <w:rPr>
                <w:rFonts w:ascii="Liberation Serif" w:hAnsi="Liberation Serif" w:cs="Calibri"/>
                <w:sz w:val="20"/>
                <w:szCs w:val="20"/>
              </w:rPr>
              <w:t>тромбоэкстракции</w:t>
            </w:r>
            <w:proofErr w:type="spellEnd"/>
            <w:r w:rsidRPr="007B7ED7">
              <w:rPr>
                <w:rFonts w:ascii="Liberation Serif" w:hAnsi="Liberation Serif" w:cs="Calibri"/>
                <w:sz w:val="20"/>
                <w:szCs w:val="20"/>
              </w:rPr>
              <w:t xml:space="preserve"> и обеспечения </w:t>
            </w:r>
            <w:proofErr w:type="spellStart"/>
            <w:r w:rsidRPr="007B7ED7">
              <w:rPr>
                <w:rFonts w:ascii="Liberation Serif" w:hAnsi="Liberation Serif" w:cs="Calibri"/>
                <w:sz w:val="20"/>
                <w:szCs w:val="20"/>
              </w:rPr>
              <w:t>реперфузии</w:t>
            </w:r>
            <w:proofErr w:type="spellEnd"/>
            <w:r w:rsidRPr="007B7ED7">
              <w:rPr>
                <w:rFonts w:ascii="Liberation Serif" w:hAnsi="Liberation Serif" w:cs="Calibri"/>
                <w:sz w:val="20"/>
                <w:szCs w:val="20"/>
              </w:rPr>
              <w:t xml:space="preserve"> церебральных артерий с применением Аспирационного насоса для удаления тромбов </w:t>
            </w:r>
            <w:proofErr w:type="spellStart"/>
            <w:r w:rsidRPr="007B7ED7">
              <w:rPr>
                <w:rFonts w:ascii="Liberation Serif" w:hAnsi="Liberation Serif" w:cs="Calibri"/>
                <w:sz w:val="20"/>
                <w:szCs w:val="20"/>
              </w:rPr>
              <w:t>Penumbra</w:t>
            </w:r>
            <w:proofErr w:type="spellEnd"/>
            <w:r w:rsidRPr="007B7ED7">
              <w:rPr>
                <w:rFonts w:ascii="Liberation Serif" w:hAnsi="Liberation Serif" w:cs="Calibri"/>
                <w:sz w:val="20"/>
                <w:szCs w:val="20"/>
              </w:rPr>
              <w:t>, имеющегося у Заказчика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sz w:val="20"/>
                <w:szCs w:val="20"/>
              </w:rPr>
              <w:t>соответствие</w:t>
            </w:r>
          </w:p>
        </w:tc>
      </w:tr>
      <w:tr w:rsidR="007B7ED7" w:rsidRPr="007B7ED7" w:rsidTr="007B7ED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2.2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sz w:val="20"/>
                <w:szCs w:val="20"/>
              </w:rPr>
              <w:t xml:space="preserve">Представляет собой </w:t>
            </w:r>
            <w:proofErr w:type="spellStart"/>
            <w:r w:rsidRPr="007B7ED7">
              <w:rPr>
                <w:rFonts w:ascii="Liberation Serif" w:hAnsi="Liberation Serif" w:cs="Calibri"/>
                <w:sz w:val="20"/>
                <w:szCs w:val="20"/>
              </w:rPr>
              <w:t>реперфузионный</w:t>
            </w:r>
            <w:proofErr w:type="spellEnd"/>
            <w:r w:rsidRPr="007B7ED7">
              <w:rPr>
                <w:rFonts w:ascii="Liberation Serif" w:hAnsi="Liberation Serif" w:cs="Calibri"/>
                <w:sz w:val="20"/>
                <w:szCs w:val="20"/>
              </w:rPr>
              <w:t xml:space="preserve"> набор (стерильный, одноразового использования) в составе </w:t>
            </w:r>
            <w:proofErr w:type="spellStart"/>
            <w:r w:rsidRPr="007B7ED7">
              <w:rPr>
                <w:rFonts w:ascii="Liberation Serif" w:hAnsi="Liberation Serif" w:cs="Calibri"/>
                <w:sz w:val="20"/>
                <w:szCs w:val="20"/>
              </w:rPr>
              <w:t>реперфузионного</w:t>
            </w:r>
            <w:proofErr w:type="spellEnd"/>
            <w:r w:rsidRPr="007B7ED7">
              <w:rPr>
                <w:rFonts w:ascii="Liberation Serif" w:hAnsi="Liberation Serif" w:cs="Calibri"/>
                <w:sz w:val="20"/>
                <w:szCs w:val="20"/>
              </w:rPr>
              <w:t xml:space="preserve"> катетера и соединительной трубки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sz w:val="20"/>
                <w:szCs w:val="20"/>
              </w:rPr>
              <w:t>соответствие</w:t>
            </w:r>
          </w:p>
        </w:tc>
      </w:tr>
      <w:tr w:rsidR="007B7ED7" w:rsidRPr="007B7ED7" w:rsidTr="007B7ED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  <w:t>2.3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Использование в сегментах М</w:t>
            </w:r>
            <w:proofErr w:type="gram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1</w:t>
            </w:r>
            <w:proofErr w:type="gram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 (от бифуркации внутренней сонной артерии до бифуркации средней мозговой артерии), А1 (от бифуркации внутренней сонной артерии до передней соединительной артерии), Р1 (от сегмента V4 позвоночной артерии до задней соединительной артерии)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соответствие</w:t>
            </w:r>
          </w:p>
        </w:tc>
      </w:tr>
      <w:tr w:rsidR="007B7ED7" w:rsidRPr="007B7ED7" w:rsidTr="007B7ED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2.</w:t>
            </w:r>
            <w:r w:rsidRPr="007B7ED7"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Количество сегментов переменной жесткости на протяжении всей длине катетера для доступа в </w:t>
            </w: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интракраниальные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 артерии, шт.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не менее 12</w:t>
            </w:r>
          </w:p>
        </w:tc>
      </w:tr>
      <w:tr w:rsidR="007B7ED7" w:rsidRPr="007B7ED7" w:rsidTr="007B7ED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2.</w:t>
            </w:r>
            <w:r w:rsidRPr="007B7ED7"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Рабочая длина катетера, </w:t>
            </w:r>
            <w:proofErr w:type="gram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не менее 130</w:t>
            </w:r>
          </w:p>
        </w:tc>
      </w:tr>
      <w:tr w:rsidR="007B7ED7" w:rsidRPr="007B7ED7" w:rsidTr="007B7ED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2.</w:t>
            </w:r>
            <w:r w:rsidRPr="007B7ED7"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Протяженность гидрофильного покрытия дистальной части, </w:t>
            </w:r>
            <w:proofErr w:type="gram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не менее 250</w:t>
            </w:r>
          </w:p>
        </w:tc>
      </w:tr>
      <w:tr w:rsidR="007B7ED7" w:rsidRPr="007B7ED7" w:rsidTr="007B7ED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2.6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Армировка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 стенок катетера на всем его протяжении </w:t>
            </w: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нитиноловой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 нитью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наличие</w:t>
            </w:r>
          </w:p>
        </w:tc>
      </w:tr>
      <w:tr w:rsidR="007B7ED7" w:rsidRPr="007B7ED7" w:rsidTr="007B7ED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2.7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Атравматичная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 кромка дистального кончика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наличие</w:t>
            </w:r>
          </w:p>
        </w:tc>
      </w:tr>
      <w:tr w:rsidR="007B7ED7" w:rsidRPr="007B7ED7" w:rsidTr="007B7ED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2.8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Рентгеноконтрастный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 маркер на дистальном конце катетера, шт.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не менее 1</w:t>
            </w:r>
          </w:p>
        </w:tc>
      </w:tr>
      <w:tr w:rsidR="007B7ED7" w:rsidRPr="007B7ED7" w:rsidTr="007B7ED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  <w:t>2.9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Внутренний диаметр катетера, </w:t>
            </w:r>
            <w:proofErr w:type="gram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не менее 1,7 и не более 1,75</w:t>
            </w:r>
          </w:p>
        </w:tc>
      </w:tr>
      <w:tr w:rsidR="007B7ED7" w:rsidRPr="007B7ED7" w:rsidTr="007B7ED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  <w:t>2.10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Наружный диаметр проксимальной части катетера, </w:t>
            </w:r>
            <w:proofErr w:type="gram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не менее 1,95 и не более 2,05</w:t>
            </w:r>
          </w:p>
        </w:tc>
      </w:tr>
      <w:tr w:rsidR="007B7ED7" w:rsidRPr="007B7ED7" w:rsidTr="007B7ED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  <w:t>2.11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Наружный диаметр дистального конца, </w:t>
            </w:r>
            <w:proofErr w:type="gram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не менее 1,95 и не более 2,05</w:t>
            </w:r>
          </w:p>
        </w:tc>
      </w:tr>
      <w:tr w:rsidR="007B7ED7" w:rsidRPr="007B7ED7" w:rsidTr="007B7ED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  <w:t>2.12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Наличие в комплекте </w:t>
            </w: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гемостатического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 клапана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соответствие</w:t>
            </w:r>
          </w:p>
        </w:tc>
      </w:tr>
      <w:tr w:rsidR="007B7ED7" w:rsidRPr="007B7ED7" w:rsidTr="007B7ED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  <w:t>2.13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Совместимость с аспирационным насосом для удаления тромбов </w:t>
            </w: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Penumbra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 производства "</w:t>
            </w: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Penumbra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Inc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", имеющимся у Заказчика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соответствие</w:t>
            </w:r>
          </w:p>
        </w:tc>
      </w:tr>
      <w:tr w:rsidR="007B7ED7" w:rsidRPr="007B7ED7" w:rsidTr="007B7ED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  <w:t>2.14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proofErr w:type="gramStart"/>
            <w:r w:rsidRPr="007B7ED7">
              <w:rPr>
                <w:rFonts w:ascii="Liberation Serif" w:hAnsi="Liberation Serif" w:cs="Calibri"/>
                <w:sz w:val="20"/>
                <w:szCs w:val="20"/>
              </w:rPr>
              <w:t>Предназначен</w:t>
            </w:r>
            <w:proofErr w:type="gramEnd"/>
            <w:r w:rsidRPr="007B7ED7">
              <w:rPr>
                <w:rFonts w:ascii="Liberation Serif" w:hAnsi="Liberation Serif" w:cs="Calibri"/>
                <w:sz w:val="20"/>
                <w:szCs w:val="20"/>
              </w:rPr>
              <w:t xml:space="preserve"> для </w:t>
            </w:r>
            <w:proofErr w:type="spellStart"/>
            <w:r w:rsidRPr="007B7ED7">
              <w:rPr>
                <w:rFonts w:ascii="Liberation Serif" w:hAnsi="Liberation Serif" w:cs="Calibri"/>
                <w:sz w:val="20"/>
                <w:szCs w:val="20"/>
              </w:rPr>
              <w:t>тромбоэкстракции</w:t>
            </w:r>
            <w:proofErr w:type="spellEnd"/>
            <w:r w:rsidRPr="007B7ED7">
              <w:rPr>
                <w:rFonts w:ascii="Liberation Serif" w:hAnsi="Liberation Serif" w:cs="Calibri"/>
                <w:sz w:val="20"/>
                <w:szCs w:val="20"/>
              </w:rPr>
              <w:t xml:space="preserve"> и обеспечения </w:t>
            </w:r>
            <w:proofErr w:type="spellStart"/>
            <w:r w:rsidRPr="007B7ED7">
              <w:rPr>
                <w:rFonts w:ascii="Liberation Serif" w:hAnsi="Liberation Serif" w:cs="Calibri"/>
                <w:sz w:val="20"/>
                <w:szCs w:val="20"/>
              </w:rPr>
              <w:t>реперфузии</w:t>
            </w:r>
            <w:proofErr w:type="spellEnd"/>
            <w:r w:rsidRPr="007B7ED7">
              <w:rPr>
                <w:rFonts w:ascii="Liberation Serif" w:hAnsi="Liberation Serif" w:cs="Calibri"/>
                <w:sz w:val="20"/>
                <w:szCs w:val="20"/>
              </w:rPr>
              <w:t xml:space="preserve"> церебральных артерий с применением аспирационного насоса для удаления тромбов </w:t>
            </w:r>
            <w:proofErr w:type="spellStart"/>
            <w:r w:rsidRPr="007B7ED7">
              <w:rPr>
                <w:rFonts w:ascii="Liberation Serif" w:hAnsi="Liberation Serif" w:cs="Calibri"/>
                <w:sz w:val="20"/>
                <w:szCs w:val="20"/>
              </w:rPr>
              <w:t>Penumbra</w:t>
            </w:r>
            <w:proofErr w:type="spellEnd"/>
            <w:r w:rsidRPr="007B7ED7">
              <w:rPr>
                <w:rFonts w:ascii="Liberation Serif" w:hAnsi="Liberation Serif" w:cs="Calibri"/>
                <w:sz w:val="20"/>
                <w:szCs w:val="20"/>
              </w:rPr>
              <w:t>, имеющегося у Заказчика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sz w:val="20"/>
                <w:szCs w:val="20"/>
              </w:rPr>
              <w:t>соответствие</w:t>
            </w:r>
          </w:p>
        </w:tc>
      </w:tr>
      <w:tr w:rsidR="007B7ED7" w:rsidRPr="007B7ED7" w:rsidTr="006E2886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03078A">
            <w:pPr>
              <w:pStyle w:val="a8"/>
              <w:widowControl w:val="0"/>
              <w:jc w:val="center"/>
              <w:rPr>
                <w:rFonts w:ascii="Liberation Serif" w:hAnsi="Liberation Serif"/>
                <w:b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3</w:t>
            </w:r>
            <w:r w:rsidRPr="007B7ED7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.0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B747D9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7B7ED7">
              <w:rPr>
                <w:rFonts w:ascii="Liberation Serif" w:hAnsi="Liberation Serif"/>
                <w:b/>
                <w:sz w:val="20"/>
                <w:szCs w:val="20"/>
              </w:rPr>
              <w:t>Канистра для аспирационной системы, многоразового использования</w:t>
            </w:r>
          </w:p>
        </w:tc>
      </w:tr>
      <w:tr w:rsidR="007B7ED7" w:rsidRPr="007B7ED7" w:rsidTr="00C04915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lastRenderedPageBreak/>
              <w:t>3.1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Канистра предназначена для применения с электромеханическим </w:t>
            </w: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реперфузионным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 аппаратом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sz w:val="20"/>
                <w:szCs w:val="20"/>
              </w:rPr>
              <w:t>соответствие</w:t>
            </w:r>
          </w:p>
        </w:tc>
      </w:tr>
      <w:tr w:rsidR="007B7ED7" w:rsidRPr="007B7ED7" w:rsidTr="00C04915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3.2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Материал корпуса и крышки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sz w:val="20"/>
                <w:szCs w:val="20"/>
              </w:rPr>
              <w:t>полимер</w:t>
            </w:r>
          </w:p>
        </w:tc>
      </w:tr>
      <w:tr w:rsidR="007B7ED7" w:rsidRPr="007B7ED7" w:rsidTr="00C04915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3.3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sz w:val="20"/>
                <w:szCs w:val="20"/>
              </w:rPr>
              <w:t>Полезный объем, мл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sz w:val="20"/>
                <w:szCs w:val="20"/>
              </w:rPr>
              <w:t>не менее 900</w:t>
            </w:r>
          </w:p>
        </w:tc>
      </w:tr>
      <w:tr w:rsidR="007B7ED7" w:rsidRPr="007B7ED7" w:rsidTr="00C04915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3.4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sz w:val="20"/>
                <w:szCs w:val="20"/>
              </w:rPr>
              <w:t xml:space="preserve">Фильтр в крышке и соединительной трубке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sz w:val="20"/>
                <w:szCs w:val="20"/>
              </w:rPr>
              <w:t>Наличие</w:t>
            </w:r>
          </w:p>
        </w:tc>
      </w:tr>
      <w:tr w:rsidR="007B7ED7" w:rsidRPr="007B7ED7" w:rsidTr="00C04915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3.5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sz w:val="20"/>
                <w:szCs w:val="20"/>
              </w:rPr>
              <w:t>Съемная крышка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sz w:val="20"/>
                <w:szCs w:val="20"/>
              </w:rPr>
              <w:t>Наличие</w:t>
            </w:r>
          </w:p>
        </w:tc>
      </w:tr>
      <w:tr w:rsidR="007B7ED7" w:rsidRPr="007B7ED7" w:rsidTr="007034A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7B7ED7">
            <w:pPr>
              <w:pStyle w:val="a8"/>
              <w:widowControl w:val="0"/>
              <w:jc w:val="center"/>
              <w:rPr>
                <w:rFonts w:ascii="Liberation Serif" w:hAnsi="Liberation Serif"/>
                <w:b/>
                <w:sz w:val="20"/>
                <w:szCs w:val="20"/>
                <w:lang w:val="en-US"/>
              </w:rPr>
            </w:pPr>
            <w:r w:rsidRPr="007B7ED7">
              <w:rPr>
                <w:rFonts w:ascii="Liberation Serif" w:hAnsi="Liberation Serif"/>
                <w:b/>
                <w:sz w:val="20"/>
                <w:szCs w:val="20"/>
              </w:rPr>
              <w:t>4</w:t>
            </w:r>
            <w:r w:rsidRPr="007B7ED7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.0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B747D9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proofErr w:type="spellStart"/>
            <w:r w:rsidRPr="007B7ED7">
              <w:rPr>
                <w:rFonts w:ascii="Liberation Serif" w:hAnsi="Liberation Serif"/>
                <w:b/>
                <w:bCs/>
                <w:color w:val="000000" w:themeColor="text1"/>
                <w:sz w:val="20"/>
                <w:szCs w:val="20"/>
              </w:rPr>
              <w:t>Микрокатетер</w:t>
            </w:r>
            <w:proofErr w:type="spellEnd"/>
            <w:r w:rsidRPr="007B7ED7">
              <w:rPr>
                <w:rFonts w:ascii="Liberation Serif" w:hAnsi="Liberation Serif"/>
                <w:b/>
                <w:bCs/>
                <w:color w:val="000000" w:themeColor="text1"/>
                <w:sz w:val="20"/>
                <w:szCs w:val="20"/>
              </w:rPr>
              <w:t xml:space="preserve"> для периферических/коронарных сосудов</w:t>
            </w:r>
          </w:p>
        </w:tc>
      </w:tr>
      <w:tr w:rsidR="007B7ED7" w:rsidRPr="007B7ED7" w:rsidTr="00B6439A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  <w:t>4.1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proofErr w:type="gramStart"/>
            <w:r w:rsidRPr="007B7ED7">
              <w:rPr>
                <w:rFonts w:ascii="Liberation Serif" w:hAnsi="Liberation Serif" w:cs="Calibri"/>
                <w:sz w:val="20"/>
                <w:szCs w:val="20"/>
              </w:rPr>
              <w:t>Предназначен</w:t>
            </w:r>
            <w:proofErr w:type="gramEnd"/>
            <w:r w:rsidRPr="007B7ED7">
              <w:rPr>
                <w:rFonts w:ascii="Liberation Serif" w:hAnsi="Liberation Serif" w:cs="Calibri"/>
                <w:sz w:val="20"/>
                <w:szCs w:val="20"/>
              </w:rPr>
              <w:t xml:space="preserve"> для </w:t>
            </w:r>
            <w:proofErr w:type="spellStart"/>
            <w:r w:rsidRPr="007B7ED7">
              <w:rPr>
                <w:rFonts w:ascii="Liberation Serif" w:hAnsi="Liberation Serif" w:cs="Calibri"/>
                <w:sz w:val="20"/>
                <w:szCs w:val="20"/>
              </w:rPr>
              <w:t>тромбоэкстракции</w:t>
            </w:r>
            <w:proofErr w:type="spellEnd"/>
            <w:r w:rsidRPr="007B7ED7">
              <w:rPr>
                <w:rFonts w:ascii="Liberation Serif" w:hAnsi="Liberation Serif" w:cs="Calibri"/>
                <w:sz w:val="20"/>
                <w:szCs w:val="20"/>
              </w:rPr>
              <w:t xml:space="preserve"> и обеспечения </w:t>
            </w:r>
            <w:proofErr w:type="spellStart"/>
            <w:r w:rsidRPr="007B7ED7">
              <w:rPr>
                <w:rFonts w:ascii="Liberation Serif" w:hAnsi="Liberation Serif" w:cs="Calibri"/>
                <w:sz w:val="20"/>
                <w:szCs w:val="20"/>
              </w:rPr>
              <w:t>реперфузии</w:t>
            </w:r>
            <w:proofErr w:type="spellEnd"/>
            <w:r w:rsidRPr="007B7ED7">
              <w:rPr>
                <w:rFonts w:ascii="Liberation Serif" w:hAnsi="Liberation Serif" w:cs="Calibri"/>
                <w:sz w:val="20"/>
                <w:szCs w:val="20"/>
              </w:rPr>
              <w:t xml:space="preserve"> церебральных артерий с применением аспирационного насоса для удаления тромбов </w:t>
            </w:r>
            <w:proofErr w:type="spellStart"/>
            <w:r w:rsidRPr="007B7ED7">
              <w:rPr>
                <w:rFonts w:ascii="Liberation Serif" w:hAnsi="Liberation Serif" w:cs="Calibri"/>
                <w:sz w:val="20"/>
                <w:szCs w:val="20"/>
              </w:rPr>
              <w:t>Penumbra</w:t>
            </w:r>
            <w:proofErr w:type="spellEnd"/>
            <w:r w:rsidRPr="007B7ED7">
              <w:rPr>
                <w:rFonts w:ascii="Liberation Serif" w:hAnsi="Liberation Serif" w:cs="Calibri"/>
                <w:sz w:val="20"/>
                <w:szCs w:val="20"/>
              </w:rPr>
              <w:t>, имеющегося у Заказчика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соответствие</w:t>
            </w:r>
          </w:p>
        </w:tc>
      </w:tr>
      <w:tr w:rsidR="007B7ED7" w:rsidRPr="007B7ED7" w:rsidTr="00B6439A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  <w:t>4.2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Представляет собой гидрофильный катетер (стерильный, одноразового использования)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соответствие</w:t>
            </w:r>
          </w:p>
        </w:tc>
      </w:tr>
      <w:tr w:rsidR="007B7ED7" w:rsidRPr="007B7ED7" w:rsidTr="00B6439A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  <w:t>4.3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Предназначение для коаксиальной доставки </w:t>
            </w: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реперфузионного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 катетера с большим внутренним просветом в целевые сегменты </w:t>
            </w: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интракраниальных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 артерий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соответствие</w:t>
            </w:r>
          </w:p>
        </w:tc>
      </w:tr>
      <w:tr w:rsidR="007B7ED7" w:rsidRPr="007B7ED7" w:rsidTr="00B6439A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  <w:t>4.4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Предназначение для доставки механических </w:t>
            </w: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тромбоэкстракторов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 в целевые сегменты </w:t>
            </w: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интракраниальных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 артерий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соответствие</w:t>
            </w:r>
          </w:p>
        </w:tc>
      </w:tr>
      <w:tr w:rsidR="007B7ED7" w:rsidRPr="007B7ED7" w:rsidTr="00B6439A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  <w:t>4.5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Использование в Использование в </w:t>
            </w: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интракраниальных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 сегментах М</w:t>
            </w:r>
            <w:proofErr w:type="gram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1</w:t>
            </w:r>
            <w:proofErr w:type="gram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, М2, М3, A1, A2, Р1, Р2, Р3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соответствие</w:t>
            </w:r>
          </w:p>
        </w:tc>
      </w:tr>
      <w:tr w:rsidR="007B7ED7" w:rsidRPr="007B7ED7" w:rsidTr="00B6439A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  <w:t>4.6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Рабочая длина катетера, </w:t>
            </w:r>
            <w:proofErr w:type="gram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Не менее 150</w:t>
            </w:r>
          </w:p>
        </w:tc>
      </w:tr>
      <w:tr w:rsidR="007B7ED7" w:rsidRPr="007B7ED7" w:rsidTr="00B6439A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  <w:t>4.7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Протяженность гидрофильного покрытия дистальной части, </w:t>
            </w:r>
            <w:proofErr w:type="gram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Не менее 250</w:t>
            </w:r>
          </w:p>
        </w:tc>
      </w:tr>
      <w:tr w:rsidR="007B7ED7" w:rsidRPr="007B7ED7" w:rsidTr="00B6439A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  <w:t>4.8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Армировка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 стенок катетера на всем его протяжении </w:t>
            </w: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нитиноловой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 нитью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Наличие</w:t>
            </w:r>
          </w:p>
        </w:tc>
      </w:tr>
      <w:tr w:rsidR="007B7ED7" w:rsidRPr="007B7ED7" w:rsidTr="00B6439A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  <w:t>4.9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Атравматичная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 кромка дистального кончика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Наличие</w:t>
            </w:r>
          </w:p>
        </w:tc>
      </w:tr>
      <w:tr w:rsidR="007B7ED7" w:rsidRPr="007B7ED7" w:rsidTr="00B6439A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  <w:t>4.10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Покрытие внутреннего просвета катетера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политетрафторэтилен или эквивалент</w:t>
            </w:r>
          </w:p>
        </w:tc>
      </w:tr>
      <w:tr w:rsidR="007B7ED7" w:rsidRPr="007B7ED7" w:rsidTr="00B6439A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  <w:t>4.11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Рентгеноконтрастный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 маркер на дистальном конце катетера, шт.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Не менее 1</w:t>
            </w:r>
          </w:p>
        </w:tc>
      </w:tr>
      <w:tr w:rsidR="007B7ED7" w:rsidRPr="007B7ED7" w:rsidTr="00B6439A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  <w:t>4.12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Сужающийся дистальный конец катетера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Наличие</w:t>
            </w:r>
          </w:p>
        </w:tc>
      </w:tr>
      <w:tr w:rsidR="007B7ED7" w:rsidRPr="007B7ED7" w:rsidTr="00B6439A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  <w:t>4.13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Проксимальный конец оснащен адаптером типа </w:t>
            </w: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Льюер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Наличие</w:t>
            </w:r>
          </w:p>
        </w:tc>
      </w:tr>
      <w:tr w:rsidR="007B7ED7" w:rsidRPr="007B7ED7" w:rsidTr="00B6439A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  <w:t>4.14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Внутренний диаметр проксимального части катетера, </w:t>
            </w:r>
            <w:proofErr w:type="gram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Не менее 1,08</w:t>
            </w:r>
          </w:p>
        </w:tc>
      </w:tr>
      <w:tr w:rsidR="007B7ED7" w:rsidRPr="007B7ED7" w:rsidTr="00B6439A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  <w:t>4.15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Внутренний диаметр дистальной части катетера, </w:t>
            </w:r>
            <w:proofErr w:type="gram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Не менее 0,8</w:t>
            </w:r>
          </w:p>
        </w:tc>
      </w:tr>
      <w:tr w:rsidR="007B7ED7" w:rsidRPr="007B7ED7" w:rsidTr="00B6439A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  <w:t>4.16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Наружный диаметр проксимальной части катетера, </w:t>
            </w:r>
            <w:proofErr w:type="gram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не менее 1,5 и не более 1,6</w:t>
            </w:r>
          </w:p>
        </w:tc>
      </w:tr>
      <w:tr w:rsidR="007B7ED7" w:rsidRPr="007B7ED7" w:rsidTr="00B6439A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  <w:t>4.17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Наружный диаметр дистальной части катетера, </w:t>
            </w:r>
            <w:proofErr w:type="gram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не менее 1,25 и не более 1,35</w:t>
            </w:r>
          </w:p>
        </w:tc>
      </w:tr>
      <w:tr w:rsidR="007B7ED7" w:rsidRPr="007B7ED7" w:rsidTr="00B6439A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7B7ED7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  <w:lang w:val="en-US"/>
              </w:rPr>
              <w:t>4.18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Совместимость с аспирационным насосом для удаления тромбов </w:t>
            </w: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Penumbra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 производства "</w:t>
            </w: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Penumbra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Inc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", имеющимся у Заказчика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соответствие</w:t>
            </w:r>
          </w:p>
        </w:tc>
      </w:tr>
      <w:tr w:rsidR="007B7ED7" w:rsidRPr="007B7ED7" w:rsidTr="00B56384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7B7ED7">
            <w:pPr>
              <w:pStyle w:val="a8"/>
              <w:widowControl w:val="0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5.0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B747D9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proofErr w:type="spellStart"/>
            <w:r w:rsidRPr="007B7ED7">
              <w:rPr>
                <w:rFonts w:ascii="Liberation Serif" w:hAnsi="Liberation Serif"/>
                <w:b/>
                <w:sz w:val="20"/>
                <w:szCs w:val="20"/>
              </w:rPr>
              <w:t>Микрокатетер</w:t>
            </w:r>
            <w:proofErr w:type="spellEnd"/>
            <w:r w:rsidRPr="007B7ED7">
              <w:rPr>
                <w:rFonts w:ascii="Liberation Serif" w:hAnsi="Liberation Serif"/>
                <w:b/>
                <w:sz w:val="20"/>
                <w:szCs w:val="20"/>
              </w:rPr>
              <w:t xml:space="preserve"> для периферических/коронарных сосудов</w:t>
            </w:r>
          </w:p>
        </w:tc>
      </w:tr>
      <w:tr w:rsidR="007B7ED7" w:rsidRPr="007B7ED7" w:rsidTr="00386B16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7B7ED7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5.1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rPr>
                <w:rFonts w:ascii="Liberation Serif" w:eastAsia="Calibri" w:hAnsi="Liberation Serif" w:cs="Calibri"/>
                <w:sz w:val="20"/>
                <w:szCs w:val="20"/>
              </w:rPr>
            </w:pPr>
            <w:proofErr w:type="gramStart"/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Предназначен</w:t>
            </w:r>
            <w:proofErr w:type="gramEnd"/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 xml:space="preserve"> </w:t>
            </w: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для доставки сетки проволочной для </w:t>
            </w: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тромбэктомии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 соответствие</w:t>
            </w:r>
          </w:p>
        </w:tc>
      </w:tr>
      <w:tr w:rsidR="007B7ED7" w:rsidRPr="007B7ED7" w:rsidTr="00386B16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7B7ED7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5.2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Наружный диаметр проксимальной части </w:t>
            </w: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микрокатетера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не менее 0,9 и не более 1,00</w:t>
            </w:r>
          </w:p>
        </w:tc>
      </w:tr>
      <w:tr w:rsidR="007B7ED7" w:rsidRPr="007B7ED7" w:rsidTr="00386B16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7B7ED7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5.3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Наружный диаметр дистальной части </w:t>
            </w: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микрокатетера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не менее 0,8 и не более 0,9</w:t>
            </w:r>
          </w:p>
        </w:tc>
      </w:tr>
      <w:tr w:rsidR="007B7ED7" w:rsidRPr="007B7ED7" w:rsidTr="00386B16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7B7ED7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5.4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Внутренний диаметр дистальной части </w:t>
            </w: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микрокатетера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не менее 0,6 и не более 0,7</w:t>
            </w:r>
          </w:p>
        </w:tc>
      </w:tr>
      <w:tr w:rsidR="007B7ED7" w:rsidRPr="007B7ED7" w:rsidTr="00386B16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7B7ED7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5.5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Количество переходов зон жесткости в стенке </w:t>
            </w: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микрокатетера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, шт.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не менее 5</w:t>
            </w:r>
          </w:p>
        </w:tc>
      </w:tr>
      <w:tr w:rsidR="007B7ED7" w:rsidRPr="007B7ED7" w:rsidTr="00386B16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7B7ED7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5.6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рентгеноконтрастных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 маркеров на дистальном конце </w:t>
            </w: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микрокатетера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, шт.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Не менее 1</w:t>
            </w:r>
          </w:p>
        </w:tc>
      </w:tr>
      <w:tr w:rsidR="007B7ED7" w:rsidRPr="007B7ED7" w:rsidTr="00386B16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7B7ED7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5.7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Сужающийся дистальный конец </w:t>
            </w: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микрокатетера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Наличие</w:t>
            </w:r>
          </w:p>
        </w:tc>
      </w:tr>
      <w:tr w:rsidR="007B7ED7" w:rsidRPr="007B7ED7" w:rsidTr="00386B16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7B7ED7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5.8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Армировка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 стенок </w:t>
            </w: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микрокатетера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 на всем его протяжении металлической нитью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Наличие</w:t>
            </w:r>
          </w:p>
        </w:tc>
      </w:tr>
      <w:tr w:rsidR="007B7ED7" w:rsidRPr="007B7ED7" w:rsidTr="00386B16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7B7ED7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5.9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Рабочая длина </w:t>
            </w: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микрокатетера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, см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Не менее 160</w:t>
            </w:r>
          </w:p>
        </w:tc>
      </w:tr>
      <w:tr w:rsidR="007B7ED7" w:rsidRPr="007B7ED7" w:rsidTr="00386B16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7B7ED7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5.10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Совместимость с аспирационным насосом производства "</w:t>
            </w: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Penumbra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", имеющимся у Заказчика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соответствие</w:t>
            </w:r>
          </w:p>
        </w:tc>
      </w:tr>
      <w:tr w:rsidR="007B7ED7" w:rsidRPr="007B7ED7" w:rsidTr="00BE040D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7B7ED7">
            <w:pPr>
              <w:pStyle w:val="a8"/>
              <w:widowControl w:val="0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6.0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B747D9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7B7ED7">
              <w:rPr>
                <w:rFonts w:ascii="Liberation Serif" w:hAnsi="Liberation Serif"/>
                <w:b/>
                <w:sz w:val="20"/>
                <w:szCs w:val="20"/>
              </w:rPr>
              <w:t>Катетер внутрисосудистый проводниковый, одноразового использования</w:t>
            </w:r>
          </w:p>
        </w:tc>
      </w:tr>
      <w:tr w:rsidR="007B7ED7" w:rsidRPr="007B7ED7" w:rsidTr="005D7FDF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6.1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Предназначен для доставки </w:t>
            </w: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эндоваскулярных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 инструментов к сосудам головного мозга с целевым размещением в сегментах С</w:t>
            </w:r>
            <w:proofErr w:type="gram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1</w:t>
            </w:r>
            <w:proofErr w:type="gram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 ВСА и V2 ПА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соответствие</w:t>
            </w:r>
          </w:p>
        </w:tc>
      </w:tr>
      <w:tr w:rsidR="007B7ED7" w:rsidRPr="007B7ED7" w:rsidTr="005D7FDF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6.2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Наружный диаметр, </w:t>
            </w:r>
            <w:proofErr w:type="gram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не менее 2,5</w:t>
            </w:r>
          </w:p>
        </w:tc>
      </w:tr>
      <w:tr w:rsidR="007B7ED7" w:rsidRPr="007B7ED7" w:rsidTr="005D7FDF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6.3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Наличие рабочих длин катетеров, </w:t>
            </w:r>
            <w:proofErr w:type="gram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мм</w:t>
            </w:r>
            <w:proofErr w:type="gram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800; 900; 1000</w:t>
            </w:r>
          </w:p>
        </w:tc>
      </w:tr>
      <w:tr w:rsidR="007B7ED7" w:rsidRPr="007B7ED7" w:rsidTr="005D7FDF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6.4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Длина гибкого дистального сегмента, </w:t>
            </w:r>
            <w:proofErr w:type="gram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не менее 30</w:t>
            </w:r>
          </w:p>
        </w:tc>
      </w:tr>
      <w:tr w:rsidR="007B7ED7" w:rsidRPr="007B7ED7" w:rsidTr="005D7FDF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6.5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Наличие конфигураций дистальной части катетера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прямой; многоцелевой </w:t>
            </w:r>
          </w:p>
        </w:tc>
      </w:tr>
      <w:tr w:rsidR="007B7ED7" w:rsidRPr="007B7ED7" w:rsidTr="005D7FDF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6.6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Внутренний диаметр катетера, </w:t>
            </w:r>
            <w:proofErr w:type="gram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не менее 2,20</w:t>
            </w:r>
          </w:p>
        </w:tc>
      </w:tr>
      <w:tr w:rsidR="007B7ED7" w:rsidRPr="007B7ED7" w:rsidTr="005D7FDF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6.7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Материал корпуса катетера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нейлон или эквивалент с двуслойным металлическим армированием</w:t>
            </w:r>
          </w:p>
        </w:tc>
      </w:tr>
      <w:tr w:rsidR="007B7ED7" w:rsidRPr="007B7ED7" w:rsidTr="005D7FDF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6.8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3-х ходовой краник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наличие</w:t>
            </w:r>
          </w:p>
        </w:tc>
      </w:tr>
      <w:tr w:rsidR="007B7ED7" w:rsidRPr="007B7ED7" w:rsidTr="005D7FDF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6.9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Расширитель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наличие</w:t>
            </w:r>
          </w:p>
        </w:tc>
      </w:tr>
      <w:tr w:rsidR="007B7ED7" w:rsidRPr="007B7ED7" w:rsidTr="005D7FDF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6.10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Гемостатический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 клапан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наличие</w:t>
            </w:r>
          </w:p>
        </w:tc>
      </w:tr>
      <w:tr w:rsidR="007B7ED7" w:rsidRPr="007B7ED7" w:rsidTr="005D7FDF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lastRenderedPageBreak/>
              <w:t>6.11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Проксимальный конец оснащен адаптером типа </w:t>
            </w: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Льюер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 xml:space="preserve"> для присоединения инструментов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Наличие</w:t>
            </w:r>
          </w:p>
        </w:tc>
      </w:tr>
      <w:tr w:rsidR="007B7ED7" w:rsidRPr="007B7ED7" w:rsidTr="005D7FDF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eastAsia="Calibri" w:hAnsi="Liberation Serif" w:cs="Calibri"/>
                <w:sz w:val="20"/>
                <w:szCs w:val="20"/>
              </w:rPr>
              <w:t>6.12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Совместимость с аспирационным насосом производства "</w:t>
            </w:r>
            <w:proofErr w:type="spellStart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Penumbra</w:t>
            </w:r>
            <w:proofErr w:type="spellEnd"/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", имеющимся у Заказчика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ED7" w:rsidRPr="007B7ED7" w:rsidRDefault="007B7ED7" w:rsidP="009D1925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Calibri"/>
                <w:sz w:val="20"/>
                <w:szCs w:val="20"/>
              </w:rPr>
            </w:pPr>
            <w:r w:rsidRPr="007B7ED7">
              <w:rPr>
                <w:rFonts w:ascii="Liberation Serif" w:hAnsi="Liberation Serif" w:cs="Calibri"/>
                <w:color w:val="000000"/>
                <w:sz w:val="20"/>
                <w:szCs w:val="20"/>
              </w:rPr>
              <w:t>соответствие</w:t>
            </w:r>
          </w:p>
        </w:tc>
      </w:tr>
    </w:tbl>
    <w:p w:rsidR="007B7ED7" w:rsidRDefault="007B7ED7" w:rsidP="003F4FA1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242A97" w:rsidRPr="00116C89" w:rsidRDefault="00762264" w:rsidP="003F4FA1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3</w:t>
      </w:r>
      <w:r w:rsidR="003F4FA1" w:rsidRPr="00116C8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. </w:t>
      </w:r>
      <w:r w:rsidR="003F4FA1" w:rsidRPr="00116C89">
        <w:rPr>
          <w:rFonts w:ascii="Liberation Serif" w:eastAsia="Times New Roman" w:hAnsi="Liberation Serif" w:cs="Times New Roman"/>
          <w:b/>
          <w:bCs/>
          <w:iCs/>
          <w:color w:val="000000"/>
          <w:sz w:val="24"/>
          <w:szCs w:val="24"/>
          <w:lang w:eastAsia="ru-RU"/>
        </w:rPr>
        <w:t xml:space="preserve">Место поставки товара: </w:t>
      </w:r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РФ, Свердловская область, г. Нижний Тагил, </w:t>
      </w:r>
      <w:proofErr w:type="spellStart"/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ул</w:t>
      </w:r>
      <w:proofErr w:type="gramStart"/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.С</w:t>
      </w:r>
      <w:proofErr w:type="gramEnd"/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олнечная</w:t>
      </w:r>
      <w:proofErr w:type="spellEnd"/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="00781E3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</w:t>
      </w:r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д.1, </w:t>
      </w:r>
      <w:r w:rsidR="00781E3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корп.1 (терапевтический корпус, </w:t>
      </w:r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2-й этаж, отделение рентгенохирургических методов диагностики и лечения ГАУЗ СО «ГБ № 4 г. Нижний Тагил»</w:t>
      </w:r>
      <w:r w:rsidR="00781E3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)</w:t>
      </w:r>
    </w:p>
    <w:p w:rsidR="003E7184" w:rsidRDefault="003E7184" w:rsidP="00242A97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3005FD" w:rsidRDefault="00762264" w:rsidP="00242A9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4</w:t>
      </w:r>
      <w:r w:rsidR="003F4FA1" w:rsidRPr="00116C8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. </w:t>
      </w:r>
      <w:r w:rsidR="003F4FA1" w:rsidRPr="00116C89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Сроки (периоды) поставки товара:</w:t>
      </w:r>
      <w:r w:rsidR="003F4FA1" w:rsidRPr="00116C8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6D48D8" w:rsidRPr="00116C8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Поставка партиями по заявке Заказчика в течение 10 дней со дня получения заявки от Заказчика. Заказчик направляет Поставщику заявку на поставку товара не чаще одного раза в месяц по</w:t>
      </w:r>
      <w:r w:rsidR="006D48D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адресу</w:t>
      </w:r>
      <w:r w:rsidR="006D48D8" w:rsidRPr="00116C8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электронной почт</w:t>
      </w:r>
      <w:r w:rsidR="006D48D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ы</w:t>
      </w:r>
      <w:r w:rsidR="006D48D8" w:rsidRPr="00116C8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="006D48D8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указанно</w:t>
      </w:r>
      <w:r w:rsidR="006D48D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му</w:t>
      </w:r>
      <w:r w:rsidR="006D48D8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в Договоре. Последняя поставка по Договору осуществляется Поставщиком не позднее 15.</w:t>
      </w:r>
      <w:r w:rsidR="006D48D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1</w:t>
      </w:r>
      <w:r w:rsidR="00DB5F2B">
        <w:rPr>
          <w:rFonts w:ascii="Liberation Serif" w:eastAsia="Times New Roman" w:hAnsi="Liberation Serif" w:cs="Times New Roman"/>
          <w:color w:val="000000"/>
          <w:sz w:val="24"/>
          <w:szCs w:val="24"/>
          <w:lang w:val="en-US" w:eastAsia="ru-RU"/>
        </w:rPr>
        <w:t>1</w:t>
      </w:r>
      <w:r w:rsidR="006D48D8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.202</w:t>
      </w:r>
      <w:r w:rsidR="006D48D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4г</w:t>
      </w:r>
      <w:r w:rsidR="006D48D8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3F4FA1" w:rsidRPr="003005FD" w:rsidRDefault="003005FD" w:rsidP="003005FD">
      <w:pPr>
        <w:tabs>
          <w:tab w:val="left" w:pos="7470"/>
        </w:tabs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</w:p>
    <w:sectPr w:rsidR="003F4FA1" w:rsidRPr="003005FD" w:rsidSect="00F75ED9">
      <w:pgSz w:w="11906" w:h="16838"/>
      <w:pgMar w:top="993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C3C"/>
    <w:rsid w:val="00006783"/>
    <w:rsid w:val="00006989"/>
    <w:rsid w:val="000119B9"/>
    <w:rsid w:val="000209C4"/>
    <w:rsid w:val="00021C03"/>
    <w:rsid w:val="000278A8"/>
    <w:rsid w:val="00030394"/>
    <w:rsid w:val="0003078A"/>
    <w:rsid w:val="00033870"/>
    <w:rsid w:val="00040A68"/>
    <w:rsid w:val="00047585"/>
    <w:rsid w:val="00053D60"/>
    <w:rsid w:val="0005680F"/>
    <w:rsid w:val="00057CBF"/>
    <w:rsid w:val="00065D87"/>
    <w:rsid w:val="000700C1"/>
    <w:rsid w:val="000730AD"/>
    <w:rsid w:val="00073773"/>
    <w:rsid w:val="0007594D"/>
    <w:rsid w:val="00076302"/>
    <w:rsid w:val="00081D2C"/>
    <w:rsid w:val="000857C4"/>
    <w:rsid w:val="000A1A57"/>
    <w:rsid w:val="000A250D"/>
    <w:rsid w:val="000A2A76"/>
    <w:rsid w:val="000B412B"/>
    <w:rsid w:val="000B7EB4"/>
    <w:rsid w:val="000B7F6B"/>
    <w:rsid w:val="000C5C7A"/>
    <w:rsid w:val="000D62E1"/>
    <w:rsid w:val="000E0051"/>
    <w:rsid w:val="000E031D"/>
    <w:rsid w:val="000E0D2D"/>
    <w:rsid w:val="000E4D13"/>
    <w:rsid w:val="000E5D18"/>
    <w:rsid w:val="000E5E77"/>
    <w:rsid w:val="00106348"/>
    <w:rsid w:val="00106F73"/>
    <w:rsid w:val="00110CA3"/>
    <w:rsid w:val="001112CF"/>
    <w:rsid w:val="00113566"/>
    <w:rsid w:val="00116C89"/>
    <w:rsid w:val="00121A3F"/>
    <w:rsid w:val="001222A3"/>
    <w:rsid w:val="00133D79"/>
    <w:rsid w:val="00142E20"/>
    <w:rsid w:val="001445B1"/>
    <w:rsid w:val="001504A8"/>
    <w:rsid w:val="00152B97"/>
    <w:rsid w:val="00161175"/>
    <w:rsid w:val="00183833"/>
    <w:rsid w:val="00191A66"/>
    <w:rsid w:val="00197934"/>
    <w:rsid w:val="001A05EC"/>
    <w:rsid w:val="001A65C4"/>
    <w:rsid w:val="001C0491"/>
    <w:rsid w:val="001C1AD0"/>
    <w:rsid w:val="001C2797"/>
    <w:rsid w:val="001C558D"/>
    <w:rsid w:val="001C64E2"/>
    <w:rsid w:val="001C6C1F"/>
    <w:rsid w:val="001D3F22"/>
    <w:rsid w:val="001D597C"/>
    <w:rsid w:val="001E0460"/>
    <w:rsid w:val="001E2EE9"/>
    <w:rsid w:val="001E307E"/>
    <w:rsid w:val="001E3CE4"/>
    <w:rsid w:val="001E44AB"/>
    <w:rsid w:val="001E5273"/>
    <w:rsid w:val="0021086D"/>
    <w:rsid w:val="00210EC4"/>
    <w:rsid w:val="0021136F"/>
    <w:rsid w:val="0021393A"/>
    <w:rsid w:val="00216D9D"/>
    <w:rsid w:val="00217614"/>
    <w:rsid w:val="0022337A"/>
    <w:rsid w:val="00226610"/>
    <w:rsid w:val="00227ED3"/>
    <w:rsid w:val="00242A97"/>
    <w:rsid w:val="00246625"/>
    <w:rsid w:val="002468C9"/>
    <w:rsid w:val="00251646"/>
    <w:rsid w:val="00252A92"/>
    <w:rsid w:val="002652B0"/>
    <w:rsid w:val="00273B81"/>
    <w:rsid w:val="002756FB"/>
    <w:rsid w:val="002765A3"/>
    <w:rsid w:val="0028083B"/>
    <w:rsid w:val="00282FCC"/>
    <w:rsid w:val="00287556"/>
    <w:rsid w:val="002A0089"/>
    <w:rsid w:val="002A03EE"/>
    <w:rsid w:val="002A1752"/>
    <w:rsid w:val="002A36AC"/>
    <w:rsid w:val="002A3979"/>
    <w:rsid w:val="002A72A7"/>
    <w:rsid w:val="002D185D"/>
    <w:rsid w:val="002D385C"/>
    <w:rsid w:val="002E5ABB"/>
    <w:rsid w:val="002F06CD"/>
    <w:rsid w:val="002F184B"/>
    <w:rsid w:val="002F4A9E"/>
    <w:rsid w:val="002F670B"/>
    <w:rsid w:val="003005FD"/>
    <w:rsid w:val="003006B6"/>
    <w:rsid w:val="003022CB"/>
    <w:rsid w:val="0031436B"/>
    <w:rsid w:val="00314BCA"/>
    <w:rsid w:val="00316165"/>
    <w:rsid w:val="00322788"/>
    <w:rsid w:val="00325BA4"/>
    <w:rsid w:val="00335F81"/>
    <w:rsid w:val="00341AE6"/>
    <w:rsid w:val="003420B7"/>
    <w:rsid w:val="00356510"/>
    <w:rsid w:val="00365AD7"/>
    <w:rsid w:val="00366782"/>
    <w:rsid w:val="00366DB3"/>
    <w:rsid w:val="00367A19"/>
    <w:rsid w:val="00384344"/>
    <w:rsid w:val="003873F6"/>
    <w:rsid w:val="003922C5"/>
    <w:rsid w:val="00396564"/>
    <w:rsid w:val="003A65A7"/>
    <w:rsid w:val="003A7093"/>
    <w:rsid w:val="003B3050"/>
    <w:rsid w:val="003D0222"/>
    <w:rsid w:val="003D13A2"/>
    <w:rsid w:val="003D6D36"/>
    <w:rsid w:val="003E02BD"/>
    <w:rsid w:val="003E6641"/>
    <w:rsid w:val="003E7184"/>
    <w:rsid w:val="003F204B"/>
    <w:rsid w:val="003F4FA1"/>
    <w:rsid w:val="003F790C"/>
    <w:rsid w:val="00400CDC"/>
    <w:rsid w:val="00420828"/>
    <w:rsid w:val="004261A4"/>
    <w:rsid w:val="00435749"/>
    <w:rsid w:val="00446B56"/>
    <w:rsid w:val="00463888"/>
    <w:rsid w:val="00466A6A"/>
    <w:rsid w:val="00470FE9"/>
    <w:rsid w:val="004734CC"/>
    <w:rsid w:val="0047760A"/>
    <w:rsid w:val="004818DB"/>
    <w:rsid w:val="00490062"/>
    <w:rsid w:val="00497A91"/>
    <w:rsid w:val="004A1076"/>
    <w:rsid w:val="004A5EC4"/>
    <w:rsid w:val="004B502B"/>
    <w:rsid w:val="004C6EBA"/>
    <w:rsid w:val="004E4D68"/>
    <w:rsid w:val="004E5E30"/>
    <w:rsid w:val="004E6977"/>
    <w:rsid w:val="00504EB2"/>
    <w:rsid w:val="00507ADA"/>
    <w:rsid w:val="0051380E"/>
    <w:rsid w:val="0052031C"/>
    <w:rsid w:val="00530B5E"/>
    <w:rsid w:val="005317A3"/>
    <w:rsid w:val="00532055"/>
    <w:rsid w:val="00541A40"/>
    <w:rsid w:val="00544707"/>
    <w:rsid w:val="00551C3E"/>
    <w:rsid w:val="0056066B"/>
    <w:rsid w:val="005640D9"/>
    <w:rsid w:val="00564D1A"/>
    <w:rsid w:val="00570314"/>
    <w:rsid w:val="00570C75"/>
    <w:rsid w:val="00570CD1"/>
    <w:rsid w:val="00571CDB"/>
    <w:rsid w:val="005722B1"/>
    <w:rsid w:val="0057373C"/>
    <w:rsid w:val="00585344"/>
    <w:rsid w:val="00587C9F"/>
    <w:rsid w:val="005A0AC7"/>
    <w:rsid w:val="005A4F07"/>
    <w:rsid w:val="005B12A0"/>
    <w:rsid w:val="005B748A"/>
    <w:rsid w:val="005C2885"/>
    <w:rsid w:val="005C37E1"/>
    <w:rsid w:val="005C72CD"/>
    <w:rsid w:val="005D11C9"/>
    <w:rsid w:val="005D3FF3"/>
    <w:rsid w:val="005D763E"/>
    <w:rsid w:val="005E382C"/>
    <w:rsid w:val="005E6616"/>
    <w:rsid w:val="005F3C88"/>
    <w:rsid w:val="006021E0"/>
    <w:rsid w:val="00604CE2"/>
    <w:rsid w:val="00632B41"/>
    <w:rsid w:val="006331E4"/>
    <w:rsid w:val="006502D4"/>
    <w:rsid w:val="00653AA2"/>
    <w:rsid w:val="00653FC6"/>
    <w:rsid w:val="00656A28"/>
    <w:rsid w:val="00657A8F"/>
    <w:rsid w:val="0067015A"/>
    <w:rsid w:val="00671E36"/>
    <w:rsid w:val="00674FCE"/>
    <w:rsid w:val="00691916"/>
    <w:rsid w:val="006923C7"/>
    <w:rsid w:val="0069461E"/>
    <w:rsid w:val="00694DBA"/>
    <w:rsid w:val="006A614B"/>
    <w:rsid w:val="006B03BB"/>
    <w:rsid w:val="006B0DA0"/>
    <w:rsid w:val="006B307D"/>
    <w:rsid w:val="006B4932"/>
    <w:rsid w:val="006C1339"/>
    <w:rsid w:val="006C225D"/>
    <w:rsid w:val="006D48D8"/>
    <w:rsid w:val="006D6695"/>
    <w:rsid w:val="006E2AB5"/>
    <w:rsid w:val="006E4D12"/>
    <w:rsid w:val="006F3151"/>
    <w:rsid w:val="00700CB2"/>
    <w:rsid w:val="007040B2"/>
    <w:rsid w:val="00705B67"/>
    <w:rsid w:val="00706F0D"/>
    <w:rsid w:val="00713D7F"/>
    <w:rsid w:val="00717766"/>
    <w:rsid w:val="00724D56"/>
    <w:rsid w:val="007330D0"/>
    <w:rsid w:val="00733FEE"/>
    <w:rsid w:val="00745C34"/>
    <w:rsid w:val="00751D75"/>
    <w:rsid w:val="00757EBA"/>
    <w:rsid w:val="00762264"/>
    <w:rsid w:val="00780D46"/>
    <w:rsid w:val="00781E33"/>
    <w:rsid w:val="0078411A"/>
    <w:rsid w:val="0078436E"/>
    <w:rsid w:val="00784473"/>
    <w:rsid w:val="0079085E"/>
    <w:rsid w:val="00791C82"/>
    <w:rsid w:val="00796711"/>
    <w:rsid w:val="007A2A03"/>
    <w:rsid w:val="007B1EFD"/>
    <w:rsid w:val="007B2643"/>
    <w:rsid w:val="007B2A47"/>
    <w:rsid w:val="007B5F3E"/>
    <w:rsid w:val="007B7600"/>
    <w:rsid w:val="007B7ED7"/>
    <w:rsid w:val="007C5B3D"/>
    <w:rsid w:val="007D1E94"/>
    <w:rsid w:val="007E20C5"/>
    <w:rsid w:val="007E48C4"/>
    <w:rsid w:val="007F25C4"/>
    <w:rsid w:val="007F375B"/>
    <w:rsid w:val="00806AD6"/>
    <w:rsid w:val="00813070"/>
    <w:rsid w:val="00813713"/>
    <w:rsid w:val="00817937"/>
    <w:rsid w:val="008237E8"/>
    <w:rsid w:val="00826D40"/>
    <w:rsid w:val="008301C4"/>
    <w:rsid w:val="00831A65"/>
    <w:rsid w:val="008346EA"/>
    <w:rsid w:val="008418E5"/>
    <w:rsid w:val="00845DC2"/>
    <w:rsid w:val="00847DF4"/>
    <w:rsid w:val="008521ED"/>
    <w:rsid w:val="00853A8C"/>
    <w:rsid w:val="00854BC9"/>
    <w:rsid w:val="00857923"/>
    <w:rsid w:val="0086419C"/>
    <w:rsid w:val="008653F9"/>
    <w:rsid w:val="008666BA"/>
    <w:rsid w:val="0087077F"/>
    <w:rsid w:val="00870910"/>
    <w:rsid w:val="00874975"/>
    <w:rsid w:val="0088355D"/>
    <w:rsid w:val="008854DF"/>
    <w:rsid w:val="00895E5C"/>
    <w:rsid w:val="008A0D07"/>
    <w:rsid w:val="008A773A"/>
    <w:rsid w:val="008A7777"/>
    <w:rsid w:val="008B1B20"/>
    <w:rsid w:val="008B38E2"/>
    <w:rsid w:val="008B3A44"/>
    <w:rsid w:val="008B7299"/>
    <w:rsid w:val="008D05BD"/>
    <w:rsid w:val="008D5032"/>
    <w:rsid w:val="008D7662"/>
    <w:rsid w:val="008E2FC4"/>
    <w:rsid w:val="008F2576"/>
    <w:rsid w:val="0090335F"/>
    <w:rsid w:val="0090483B"/>
    <w:rsid w:val="00913C5C"/>
    <w:rsid w:val="00922F27"/>
    <w:rsid w:val="009342C6"/>
    <w:rsid w:val="00943652"/>
    <w:rsid w:val="009439E4"/>
    <w:rsid w:val="009474A5"/>
    <w:rsid w:val="00951484"/>
    <w:rsid w:val="0095172D"/>
    <w:rsid w:val="00953B18"/>
    <w:rsid w:val="009544D5"/>
    <w:rsid w:val="00961375"/>
    <w:rsid w:val="0097097D"/>
    <w:rsid w:val="00986130"/>
    <w:rsid w:val="00993CB9"/>
    <w:rsid w:val="009A0508"/>
    <w:rsid w:val="009A6419"/>
    <w:rsid w:val="009B46A2"/>
    <w:rsid w:val="009C6381"/>
    <w:rsid w:val="009E41CE"/>
    <w:rsid w:val="009E6C61"/>
    <w:rsid w:val="009F4042"/>
    <w:rsid w:val="009F43B0"/>
    <w:rsid w:val="00A00B09"/>
    <w:rsid w:val="00A01391"/>
    <w:rsid w:val="00A05624"/>
    <w:rsid w:val="00A12605"/>
    <w:rsid w:val="00A22C4A"/>
    <w:rsid w:val="00A25E2C"/>
    <w:rsid w:val="00A30218"/>
    <w:rsid w:val="00A3774A"/>
    <w:rsid w:val="00A40F14"/>
    <w:rsid w:val="00A42E31"/>
    <w:rsid w:val="00A512EA"/>
    <w:rsid w:val="00A84E2E"/>
    <w:rsid w:val="00A948C7"/>
    <w:rsid w:val="00A94C88"/>
    <w:rsid w:val="00A95F24"/>
    <w:rsid w:val="00AA4A18"/>
    <w:rsid w:val="00AA5670"/>
    <w:rsid w:val="00AB2FA9"/>
    <w:rsid w:val="00AB595A"/>
    <w:rsid w:val="00AB7298"/>
    <w:rsid w:val="00AB7903"/>
    <w:rsid w:val="00AC1447"/>
    <w:rsid w:val="00AC5539"/>
    <w:rsid w:val="00AD0187"/>
    <w:rsid w:val="00AD1963"/>
    <w:rsid w:val="00AD23A5"/>
    <w:rsid w:val="00AD432D"/>
    <w:rsid w:val="00AD6102"/>
    <w:rsid w:val="00AE4E14"/>
    <w:rsid w:val="00AF0BBC"/>
    <w:rsid w:val="00AF6EBC"/>
    <w:rsid w:val="00B00C87"/>
    <w:rsid w:val="00B05165"/>
    <w:rsid w:val="00B24ECE"/>
    <w:rsid w:val="00B31C6D"/>
    <w:rsid w:val="00B328E3"/>
    <w:rsid w:val="00B32DFC"/>
    <w:rsid w:val="00B429D1"/>
    <w:rsid w:val="00B44BDB"/>
    <w:rsid w:val="00B50F07"/>
    <w:rsid w:val="00B53E84"/>
    <w:rsid w:val="00B622C7"/>
    <w:rsid w:val="00B64693"/>
    <w:rsid w:val="00B747D9"/>
    <w:rsid w:val="00B77CA4"/>
    <w:rsid w:val="00B910F9"/>
    <w:rsid w:val="00B9743F"/>
    <w:rsid w:val="00BA3C2B"/>
    <w:rsid w:val="00BA47A2"/>
    <w:rsid w:val="00BB1B17"/>
    <w:rsid w:val="00BB48EB"/>
    <w:rsid w:val="00BC23C9"/>
    <w:rsid w:val="00BC5751"/>
    <w:rsid w:val="00BC6D94"/>
    <w:rsid w:val="00BD091F"/>
    <w:rsid w:val="00BD20F5"/>
    <w:rsid w:val="00BE08A0"/>
    <w:rsid w:val="00BE66ED"/>
    <w:rsid w:val="00BF2B62"/>
    <w:rsid w:val="00BF3DBB"/>
    <w:rsid w:val="00C15F3F"/>
    <w:rsid w:val="00C228DD"/>
    <w:rsid w:val="00C2376A"/>
    <w:rsid w:val="00C23AC7"/>
    <w:rsid w:val="00C24691"/>
    <w:rsid w:val="00C30EFF"/>
    <w:rsid w:val="00C36B2A"/>
    <w:rsid w:val="00C373E0"/>
    <w:rsid w:val="00C414F9"/>
    <w:rsid w:val="00C44C86"/>
    <w:rsid w:val="00C44FE2"/>
    <w:rsid w:val="00C4593B"/>
    <w:rsid w:val="00C551E8"/>
    <w:rsid w:val="00C6256A"/>
    <w:rsid w:val="00C70BB9"/>
    <w:rsid w:val="00C87400"/>
    <w:rsid w:val="00C92C3C"/>
    <w:rsid w:val="00C94B5C"/>
    <w:rsid w:val="00CB0166"/>
    <w:rsid w:val="00CB0E0A"/>
    <w:rsid w:val="00CB1EB7"/>
    <w:rsid w:val="00CC21F3"/>
    <w:rsid w:val="00CC2316"/>
    <w:rsid w:val="00CD34AA"/>
    <w:rsid w:val="00CE2A81"/>
    <w:rsid w:val="00CF0DAD"/>
    <w:rsid w:val="00CF14CF"/>
    <w:rsid w:val="00CF37FA"/>
    <w:rsid w:val="00D07623"/>
    <w:rsid w:val="00D11168"/>
    <w:rsid w:val="00D14271"/>
    <w:rsid w:val="00D24310"/>
    <w:rsid w:val="00D2573B"/>
    <w:rsid w:val="00D2650A"/>
    <w:rsid w:val="00D3353D"/>
    <w:rsid w:val="00D3628F"/>
    <w:rsid w:val="00D41F10"/>
    <w:rsid w:val="00D4418B"/>
    <w:rsid w:val="00D46632"/>
    <w:rsid w:val="00D56369"/>
    <w:rsid w:val="00D8051A"/>
    <w:rsid w:val="00D8354C"/>
    <w:rsid w:val="00D915F4"/>
    <w:rsid w:val="00DA5D4B"/>
    <w:rsid w:val="00DB0515"/>
    <w:rsid w:val="00DB07F9"/>
    <w:rsid w:val="00DB204A"/>
    <w:rsid w:val="00DB5B1E"/>
    <w:rsid w:val="00DB5F2B"/>
    <w:rsid w:val="00DD77D8"/>
    <w:rsid w:val="00DE3FB3"/>
    <w:rsid w:val="00DF400D"/>
    <w:rsid w:val="00DF4BED"/>
    <w:rsid w:val="00E05BF8"/>
    <w:rsid w:val="00E12791"/>
    <w:rsid w:val="00E24998"/>
    <w:rsid w:val="00E42D0B"/>
    <w:rsid w:val="00E44375"/>
    <w:rsid w:val="00E4751F"/>
    <w:rsid w:val="00E57433"/>
    <w:rsid w:val="00E66283"/>
    <w:rsid w:val="00E702B8"/>
    <w:rsid w:val="00E706F0"/>
    <w:rsid w:val="00E7076A"/>
    <w:rsid w:val="00E71326"/>
    <w:rsid w:val="00E762A7"/>
    <w:rsid w:val="00E76C21"/>
    <w:rsid w:val="00E96BB3"/>
    <w:rsid w:val="00EA65BF"/>
    <w:rsid w:val="00EC13D3"/>
    <w:rsid w:val="00EC2905"/>
    <w:rsid w:val="00ED37D0"/>
    <w:rsid w:val="00ED3962"/>
    <w:rsid w:val="00ED7D8A"/>
    <w:rsid w:val="00ED7DB8"/>
    <w:rsid w:val="00EE1730"/>
    <w:rsid w:val="00EE364D"/>
    <w:rsid w:val="00EF3DDE"/>
    <w:rsid w:val="00F01811"/>
    <w:rsid w:val="00F10369"/>
    <w:rsid w:val="00F176A9"/>
    <w:rsid w:val="00F26D14"/>
    <w:rsid w:val="00F30F72"/>
    <w:rsid w:val="00F31D36"/>
    <w:rsid w:val="00F37E48"/>
    <w:rsid w:val="00F453FC"/>
    <w:rsid w:val="00F45653"/>
    <w:rsid w:val="00F467E2"/>
    <w:rsid w:val="00F53F6F"/>
    <w:rsid w:val="00F54829"/>
    <w:rsid w:val="00F55480"/>
    <w:rsid w:val="00F5622B"/>
    <w:rsid w:val="00F61448"/>
    <w:rsid w:val="00F635CE"/>
    <w:rsid w:val="00F637D3"/>
    <w:rsid w:val="00F75ED9"/>
    <w:rsid w:val="00F77312"/>
    <w:rsid w:val="00F94313"/>
    <w:rsid w:val="00F95299"/>
    <w:rsid w:val="00FA62CF"/>
    <w:rsid w:val="00FC47E5"/>
    <w:rsid w:val="00FD0988"/>
    <w:rsid w:val="00FD483E"/>
    <w:rsid w:val="00FD6BF1"/>
    <w:rsid w:val="00FE0D36"/>
    <w:rsid w:val="00FF0463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aliases w:val="для таблиц,Без интервала2,Без интервала1,Без интервала11,Без интервала21,Без интервала111,No Spacing111,No Spacing,No Spacing1,No Spacing11,Без интервала3"/>
    <w:link w:val="a9"/>
    <w:uiPriority w:val="1"/>
    <w:qFormat/>
    <w:rsid w:val="008A777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9">
    <w:name w:val="Без интервала Знак"/>
    <w:aliases w:val="для таблиц Знак,Без интервала2 Знак,Без интервала1 Знак,Без интервала11 Знак,Без интервала21 Знак,Без интервала111 Знак,No Spacing111 Знак,No Spacing Знак,No Spacing1 Знак,No Spacing11 Знак,Без интервала3 Знак"/>
    <w:link w:val="a8"/>
    <w:qFormat/>
    <w:rsid w:val="008A7777"/>
    <w:rPr>
      <w:rFonts w:ascii="Calibri" w:eastAsia="Calibri" w:hAnsi="Calibri" w:cs="Times New Roman"/>
      <w:lang w:eastAsia="ru-RU"/>
    </w:rPr>
  </w:style>
  <w:style w:type="character" w:styleId="aa">
    <w:name w:val="Emphasis"/>
    <w:basedOn w:val="a0"/>
    <w:uiPriority w:val="20"/>
    <w:qFormat/>
    <w:rsid w:val="00CF14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3608E-9F17-41BA-ADED-CBBACF06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253</cp:revision>
  <cp:lastPrinted>2024-03-04T09:13:00Z</cp:lastPrinted>
  <dcterms:created xsi:type="dcterms:W3CDTF">2015-12-28T09:53:00Z</dcterms:created>
  <dcterms:modified xsi:type="dcterms:W3CDTF">2024-07-03T10:39:00Z</dcterms:modified>
</cp:coreProperties>
</file>