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2A1AF3" w:rsidRDefault="008E50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i1025" style="width:0;height:7.5pt" o:hralign="center" o:hrstd="t" o:hr="t" fillcolor="black" stroked="f"/>
        </w:pic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A1AF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Сысертская</w:t>
            </w:r>
            <w:proofErr w:type="spellEnd"/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092270" w:rsidRDefault="008E508E" w:rsidP="003B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 реактивов для лаборатории</w:t>
            </w:r>
            <w:bookmarkStart w:id="0" w:name="_GoBack"/>
            <w:bookmarkEnd w:id="0"/>
          </w:p>
        </w:tc>
      </w:tr>
    </w:tbl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0" w:type="dxa"/>
        <w:tblInd w:w="-5" w:type="dxa"/>
        <w:tblLook w:val="04A0" w:firstRow="1" w:lastRow="0" w:firstColumn="1" w:lastColumn="0" w:noHBand="0" w:noVBand="1"/>
      </w:tblPr>
      <w:tblGrid>
        <w:gridCol w:w="913"/>
        <w:gridCol w:w="3152"/>
        <w:gridCol w:w="2953"/>
        <w:gridCol w:w="1169"/>
        <w:gridCol w:w="1303"/>
      </w:tblGrid>
      <w:tr w:rsidR="002A1AF3" w:rsidRPr="00092270" w:rsidTr="00066E53">
        <w:trPr>
          <w:trHeight w:val="401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описание предмета закупки</w:t>
            </w:r>
          </w:p>
        </w:tc>
      </w:tr>
      <w:tr w:rsidR="002A1AF3" w:rsidRPr="00092270" w:rsidTr="00066E53">
        <w:trPr>
          <w:trHeight w:val="400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3" w:rsidRPr="00092270" w:rsidRDefault="002A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3" w:rsidRPr="00092270" w:rsidRDefault="002A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  предмета закупки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товара</w:t>
            </w:r>
          </w:p>
        </w:tc>
      </w:tr>
      <w:tr w:rsidR="002A1AF3" w:rsidRPr="00092270" w:rsidTr="00066E53">
        <w:trPr>
          <w:trHeight w:val="32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95443" w:rsidRPr="00092270" w:rsidTr="00B75155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95443" w:rsidRPr="00092270" w:rsidRDefault="00195443" w:rsidP="0019544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092270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Набор реагентов для качественного и/или количественного определения антител к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Treponema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pallidum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реагентов и других связанных с ними материалов, предназначенный для качественного и/или количественного определения неспецифичных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реагиновых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антител, продуцируемых в ответ на бактериальную инфекцию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Treponema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pallidum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 клиническом образце методом агглютинации (например, тест на быстрый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реагин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плазмы (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Rapid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Plasma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Reagin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(RPR)) или тест лаборатории венерических заболеваний (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Venereal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Disease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Research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Laboratory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(VDRL)). Анализ предназначен для выявления бактериальной инфекции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Treponema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pallidum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, связанной с сифилисом. Количество выполняемых тестов</w:t>
            </w:r>
          </w:p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≥ 100</w:t>
            </w: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Штука</w:t>
            </w:r>
          </w:p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Доп.характеристики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Принцип метода: выявление антител к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Treponema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pallidum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реакции пассивной (непрямой) гемагглютинации. </w:t>
            </w:r>
          </w:p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теста: для качественного и полуколичественного определения антител к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Treponema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pallidum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сыворотке (плазме) крови и спинномозговой жидкости (СМЖ) человека с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помощьюреакции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пассивной гемагглютинации (РПГА). </w:t>
            </w:r>
          </w:p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Комплектность: не менее 100 определений, включая контроли. </w:t>
            </w:r>
          </w:p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Тест-эритроциты сенсибилизированы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нативными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антигенами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Treponema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pallidum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штамм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Nichols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Исследуемый образец: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нативная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сыворотка (плазма) крови, спинномозговая жидкость </w:t>
            </w:r>
            <w:proofErr w:type="gram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человека..</w:t>
            </w:r>
            <w:proofErr w:type="gram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Аналитическая чувствительность: 0,05 МЕ/мл (международный стандарт NIBSC). Время инкубации: не более 45 минут. Учет результатов реакции: в течение не менее 24. Возможность хранения неиспользованных реагентов до истечения срока годности набора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Default="00195443" w:rsidP="00195443">
            <w:r w:rsidRPr="005371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набор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066E53" w:rsidRDefault="00195443" w:rsidP="001954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195443" w:rsidRPr="00092270" w:rsidTr="00B75155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95443" w:rsidRPr="00092270" w:rsidRDefault="00195443" w:rsidP="0019544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092270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Сыворотки контрольные для диагностики сифилиса отрицательная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реагентов "Сыворотки контрольные для диагностики сифилиса" должны представлять собой жидкую сыворотку крови кролика, не содержащие антитела к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Treponema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pallidum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(отрицательную).</w:t>
            </w:r>
          </w:p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Назначение: контроль качества лабораторных исследований на сифилис в реакции пассивной гемагглютинации (РПГА), реакции связывания комплемента (РСК), реакции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микропреципитации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(РМП), реакции быстрых плазменных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реагинов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(RPR).</w:t>
            </w:r>
          </w:p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Набор должен включать:</w:t>
            </w:r>
          </w:p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сыворотка контрольная отрицательная, не менее 10 </w:t>
            </w:r>
            <w:proofErr w:type="spellStart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фл</w:t>
            </w:r>
            <w:proofErr w:type="spellEnd"/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>. объемом не менее 1 мл.</w:t>
            </w:r>
          </w:p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Готов к применению.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Default="00195443" w:rsidP="00195443">
            <w:r w:rsidRPr="005371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набор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066E53" w:rsidRDefault="00195443" w:rsidP="001954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195443" w:rsidRPr="00092270" w:rsidTr="00B75155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95443" w:rsidRPr="00092270" w:rsidRDefault="00195443" w:rsidP="0019544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092270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Сыворотки контрольные для диагностики сифилиса(положительная)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 xml:space="preserve">Набор реагентов "Сыворотки контрольные для диагностики сифилиса" должны представлять собой жидкую сыворотку крови кролика, не содержащие антитела к </w:t>
            </w:r>
            <w:proofErr w:type="spellStart"/>
            <w:r w:rsidRPr="00195443">
              <w:rPr>
                <w:sz w:val="20"/>
                <w:szCs w:val="20"/>
              </w:rPr>
              <w:t>Treponema</w:t>
            </w:r>
            <w:proofErr w:type="spellEnd"/>
            <w:r w:rsidRPr="00195443">
              <w:rPr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sz w:val="20"/>
                <w:szCs w:val="20"/>
              </w:rPr>
              <w:t>pallidum</w:t>
            </w:r>
            <w:proofErr w:type="spellEnd"/>
            <w:r w:rsidRPr="00195443">
              <w:rPr>
                <w:sz w:val="20"/>
                <w:szCs w:val="20"/>
              </w:rPr>
              <w:t xml:space="preserve"> (положительную).</w:t>
            </w:r>
          </w:p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 xml:space="preserve">Назначение: контроль качества лабораторных исследований на сифилис в реакции пассивной гемагглютинации (РПГА), реакции связывания комплемента (РСК), реакции </w:t>
            </w:r>
            <w:proofErr w:type="spellStart"/>
            <w:r w:rsidRPr="00195443">
              <w:rPr>
                <w:sz w:val="20"/>
                <w:szCs w:val="20"/>
              </w:rPr>
              <w:t>микропреципитации</w:t>
            </w:r>
            <w:proofErr w:type="spellEnd"/>
            <w:r w:rsidRPr="00195443">
              <w:rPr>
                <w:sz w:val="20"/>
                <w:szCs w:val="20"/>
              </w:rPr>
              <w:t xml:space="preserve"> (РМП), реакции быстрых плазменных </w:t>
            </w:r>
            <w:proofErr w:type="spellStart"/>
            <w:r w:rsidRPr="00195443">
              <w:rPr>
                <w:sz w:val="20"/>
                <w:szCs w:val="20"/>
              </w:rPr>
              <w:t>реагинов</w:t>
            </w:r>
            <w:proofErr w:type="spellEnd"/>
            <w:r w:rsidRPr="00195443">
              <w:rPr>
                <w:sz w:val="20"/>
                <w:szCs w:val="20"/>
              </w:rPr>
              <w:t xml:space="preserve"> (RPR). </w:t>
            </w:r>
          </w:p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>Набор должен включать:</w:t>
            </w:r>
          </w:p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 xml:space="preserve">сыворотка контрольная положительная, не менее 10 </w:t>
            </w:r>
            <w:proofErr w:type="spellStart"/>
            <w:r w:rsidRPr="00195443">
              <w:rPr>
                <w:sz w:val="20"/>
                <w:szCs w:val="20"/>
              </w:rPr>
              <w:t>фл</w:t>
            </w:r>
            <w:proofErr w:type="spellEnd"/>
            <w:r w:rsidRPr="00195443">
              <w:rPr>
                <w:sz w:val="20"/>
                <w:szCs w:val="20"/>
              </w:rPr>
              <w:t xml:space="preserve">. по </w:t>
            </w:r>
            <w:proofErr w:type="gramStart"/>
            <w:r w:rsidRPr="00195443">
              <w:rPr>
                <w:sz w:val="20"/>
                <w:szCs w:val="20"/>
              </w:rPr>
              <w:t>1  мл</w:t>
            </w:r>
            <w:proofErr w:type="gramEnd"/>
            <w:r w:rsidRPr="00195443">
              <w:rPr>
                <w:sz w:val="20"/>
                <w:szCs w:val="20"/>
              </w:rPr>
              <w:t xml:space="preserve">. </w:t>
            </w:r>
          </w:p>
          <w:p w:rsidR="00195443" w:rsidRPr="00195443" w:rsidRDefault="00195443" w:rsidP="00195443">
            <w:pPr>
              <w:pStyle w:val="3"/>
              <w:jc w:val="center"/>
              <w:rPr>
                <w:bCs/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>Готов к применению.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Default="00195443" w:rsidP="00195443">
            <w:r w:rsidRPr="005371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066E53" w:rsidRDefault="00195443" w:rsidP="001954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195443" w:rsidRPr="00092270" w:rsidTr="00B75155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95443" w:rsidRPr="00092270" w:rsidRDefault="00195443" w:rsidP="0019544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липидов для выполнения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флокуляционного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теста на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Luis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 xml:space="preserve">Готовый к использованию комплекс липидов для выполнения </w:t>
            </w:r>
            <w:proofErr w:type="spellStart"/>
            <w:r w:rsidRPr="00195443">
              <w:rPr>
                <w:sz w:val="20"/>
                <w:szCs w:val="20"/>
              </w:rPr>
              <w:t>флокуляционного</w:t>
            </w:r>
            <w:proofErr w:type="spellEnd"/>
            <w:r w:rsidRPr="00195443">
              <w:rPr>
                <w:sz w:val="20"/>
                <w:szCs w:val="20"/>
              </w:rPr>
              <w:t xml:space="preserve"> теста на </w:t>
            </w:r>
            <w:proofErr w:type="spellStart"/>
            <w:r w:rsidRPr="00195443">
              <w:rPr>
                <w:sz w:val="20"/>
                <w:szCs w:val="20"/>
              </w:rPr>
              <w:t>Luis</w:t>
            </w:r>
            <w:proofErr w:type="spellEnd"/>
          </w:p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 xml:space="preserve">В состав набора должны входить взвесь </w:t>
            </w:r>
            <w:proofErr w:type="spellStart"/>
            <w:r w:rsidRPr="00195443">
              <w:rPr>
                <w:sz w:val="20"/>
                <w:szCs w:val="20"/>
              </w:rPr>
              <w:t>АгКЛ</w:t>
            </w:r>
            <w:proofErr w:type="spellEnd"/>
            <w:r w:rsidRPr="00195443">
              <w:rPr>
                <w:sz w:val="20"/>
                <w:szCs w:val="20"/>
              </w:rPr>
              <w:t xml:space="preserve"> в 10 % растворе холин-хлорида, содержащая </w:t>
            </w:r>
            <w:proofErr w:type="spellStart"/>
            <w:r w:rsidRPr="00195443">
              <w:rPr>
                <w:sz w:val="20"/>
                <w:szCs w:val="20"/>
              </w:rPr>
              <w:t>кардиолипина</w:t>
            </w:r>
            <w:proofErr w:type="spellEnd"/>
            <w:r w:rsidRPr="00195443">
              <w:rPr>
                <w:sz w:val="20"/>
                <w:szCs w:val="20"/>
              </w:rPr>
              <w:t xml:space="preserve"> – 0,033 %; лецитина – 0,27 %, </w:t>
            </w:r>
            <w:proofErr w:type="gramStart"/>
            <w:r w:rsidRPr="00195443">
              <w:rPr>
                <w:sz w:val="20"/>
                <w:szCs w:val="20"/>
              </w:rPr>
              <w:t>холестерина  –</w:t>
            </w:r>
            <w:proofErr w:type="gramEnd"/>
            <w:r w:rsidRPr="00195443">
              <w:rPr>
                <w:sz w:val="20"/>
                <w:szCs w:val="20"/>
              </w:rPr>
              <w:t xml:space="preserve"> 0,9 %, ЭДТА (стабилизатор) в конечной концентрации 0,0125 моль/л и </w:t>
            </w:r>
            <w:proofErr w:type="spellStart"/>
            <w:r w:rsidRPr="00195443">
              <w:rPr>
                <w:sz w:val="20"/>
                <w:szCs w:val="20"/>
              </w:rPr>
              <w:t>тимеросал</w:t>
            </w:r>
            <w:proofErr w:type="spellEnd"/>
            <w:r w:rsidRPr="00195443">
              <w:rPr>
                <w:sz w:val="20"/>
                <w:szCs w:val="20"/>
              </w:rPr>
              <w:t xml:space="preserve"> (консервант) в конечной концентрации 0,1 </w:t>
            </w:r>
          </w:p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>Набор должен быть рассчитан на исследование не менее 2000 образцов.</w:t>
            </w:r>
          </w:p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proofErr w:type="gramStart"/>
            <w:r w:rsidRPr="00195443">
              <w:rPr>
                <w:sz w:val="20"/>
                <w:szCs w:val="20"/>
              </w:rPr>
              <w:t>Объем  исследуемого</w:t>
            </w:r>
            <w:proofErr w:type="gramEnd"/>
            <w:r w:rsidRPr="00195443">
              <w:rPr>
                <w:sz w:val="20"/>
                <w:szCs w:val="20"/>
              </w:rPr>
              <w:t xml:space="preserve"> образца не менее 90 </w:t>
            </w:r>
            <w:proofErr w:type="spellStart"/>
            <w:r w:rsidRPr="00195443">
              <w:rPr>
                <w:sz w:val="20"/>
                <w:szCs w:val="20"/>
              </w:rPr>
              <w:t>мкл</w:t>
            </w:r>
            <w:proofErr w:type="spellEnd"/>
            <w:r w:rsidRPr="00195443">
              <w:rPr>
                <w:sz w:val="20"/>
                <w:szCs w:val="20"/>
              </w:rPr>
              <w:t>.</w:t>
            </w:r>
          </w:p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>Образец для исследования: сыворотка (плазма) крови, ликвор</w:t>
            </w:r>
          </w:p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>Суммарное время постановки реакции 8 минут</w:t>
            </w:r>
          </w:p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  <w:r w:rsidRPr="00195443">
              <w:rPr>
                <w:sz w:val="20"/>
                <w:szCs w:val="20"/>
              </w:rPr>
              <w:t xml:space="preserve">Предназначен для </w:t>
            </w:r>
            <w:r w:rsidRPr="00195443">
              <w:rPr>
                <w:sz w:val="20"/>
                <w:szCs w:val="20"/>
              </w:rPr>
              <w:lastRenderedPageBreak/>
              <w:t>качественного и полуколичественного определения.</w:t>
            </w:r>
          </w:p>
          <w:p w:rsidR="00195443" w:rsidRPr="00195443" w:rsidRDefault="00195443" w:rsidP="00195443">
            <w:pPr>
              <w:pStyle w:val="3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066E5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упак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066E53" w:rsidRDefault="00195443" w:rsidP="001954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195443" w:rsidRPr="00092270" w:rsidTr="00B75155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95443" w:rsidRPr="00092270" w:rsidRDefault="00195443" w:rsidP="0019544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195443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Набор реагентов для качественного и/или полуколичественного определения множества </w:t>
            </w:r>
            <w:proofErr w:type="spellStart"/>
            <w:r w:rsidRPr="00195443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аналитов</w:t>
            </w:r>
            <w:proofErr w:type="spellEnd"/>
            <w:r w:rsidRPr="00195443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 при клиническом анализе кала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195443" w:rsidRDefault="00195443" w:rsidP="00195443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Набор реагентов и других связанных с ними материалов, предназначенный для качественного и/или полуколичественного определения множества </w:t>
            </w:r>
            <w:proofErr w:type="spellStart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аналитов</w:t>
            </w:r>
            <w:proofErr w:type="spellEnd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при клиническом анализе кала методом окрашивания. Определяемые </w:t>
            </w:r>
            <w:proofErr w:type="spellStart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аналиты</w:t>
            </w:r>
            <w:proofErr w:type="spellEnd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могут включать скрытую кровь (</w:t>
            </w:r>
            <w:proofErr w:type="spellStart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occult</w:t>
            </w:r>
            <w:proofErr w:type="spellEnd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blood</w:t>
            </w:r>
            <w:proofErr w:type="spellEnd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), билирубин (</w:t>
            </w:r>
            <w:proofErr w:type="spellStart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bilirubin</w:t>
            </w:r>
            <w:proofErr w:type="spellEnd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), </w:t>
            </w:r>
            <w:proofErr w:type="spellStart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стеркобилин</w:t>
            </w:r>
            <w:proofErr w:type="spellEnd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(</w:t>
            </w:r>
            <w:proofErr w:type="spellStart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stercobilin</w:t>
            </w:r>
            <w:proofErr w:type="spellEnd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), фекальные жиры (</w:t>
            </w:r>
            <w:proofErr w:type="spellStart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faecal</w:t>
            </w:r>
            <w:proofErr w:type="spellEnd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fat</w:t>
            </w:r>
            <w:proofErr w:type="spellEnd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), яйца гельминтов (</w:t>
            </w:r>
            <w:proofErr w:type="spellStart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helminth</w:t>
            </w:r>
            <w:proofErr w:type="spellEnd"/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). Набор может содержать консервант для хранения и транспортировки образцов.</w:t>
            </w: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оличество выполняемых тестов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≥ 1000</w:t>
            </w:r>
            <w:r w:rsidRPr="00195443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ab/>
              <w:t>Штука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Default="00195443" w:rsidP="00195443">
            <w:r w:rsidRPr="00833C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066E5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5443" w:rsidRPr="00092270" w:rsidTr="00B75155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95443" w:rsidRPr="00092270" w:rsidRDefault="00195443" w:rsidP="0019544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качественного и/или полуколичественного определения множества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при клиническом анализе мокроты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и других связанных с ними материалов, предназначенный для качественного и/или полуколичественного определения множества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при клиническом анализе мокроты методом микроскопического исследования окрашенных препаратов. Определяемые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аналиты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могут включать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кислоустойчивые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 рода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Mycobacterium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, альвеолярные макрофаги (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alveolar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macrophage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), клетки, характерные для воспалительных и злокачественных процессов в легких. 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(характеристика является обязательной для применения) 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≥ 100</w:t>
            </w: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ab/>
              <w:t>Штука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Default="00195443" w:rsidP="00195443">
            <w:r w:rsidRPr="00833C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066E5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5443" w:rsidRPr="00092270" w:rsidTr="00B75155">
        <w:trPr>
          <w:trHeight w:val="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95443" w:rsidRDefault="00195443" w:rsidP="00195443">
            <w:pPr>
              <w:suppressAutoHyphens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43" w:rsidRPr="00195443" w:rsidRDefault="00195443" w:rsidP="0019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качественного и/или полуколичественного определения множества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при клиническом анализе кала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и других связанных с ними материалов, предназначенный для качественного и/или полуколичественного определения множества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при клиническом анализе кала методом окрашивания. Определяемые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аналиты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могут включать скрытую кровь (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occult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), билирубин (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bilirubin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стеркобилин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stercobilin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), фекальные жиры (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faecal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fat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), яйца гельминтов (</w:t>
            </w: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helminth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). Набор может содержать консервант для хранения и транспортировки образцов. 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Скрытая кровь </w:t>
            </w:r>
            <w:proofErr w:type="gram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(характеристика является обязательной для применения) 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≥ 1000</w:t>
            </w: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ab/>
              <w:t>Штука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Стеркобиллин</w:t>
            </w:r>
            <w:proofErr w:type="spellEnd"/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(характеристика является обязательной для применения) 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≥ 50</w:t>
            </w: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ab/>
              <w:t>Штука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Биллирубин</w:t>
            </w:r>
            <w:proofErr w:type="spellEnd"/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Количество выполняемых тестов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(характеристика является обязательной для применения) 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≥ 200</w:t>
            </w: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ab/>
              <w:t>Штука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Микроскопическое исследование (нейтральный жир, жирные кислоты, мыла, крахмал, яйца гельминтов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выполняемых </w:t>
            </w:r>
            <w:r w:rsidRPr="00195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 xml:space="preserve">(характеристика является обязательной для применения) </w:t>
            </w:r>
          </w:p>
          <w:p w:rsidR="00195443" w:rsidRPr="0019544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>≥ 2000</w:t>
            </w:r>
            <w:r w:rsidRPr="00195443">
              <w:rPr>
                <w:rFonts w:ascii="Times New Roman" w:hAnsi="Times New Roman" w:cs="Times New Roman"/>
                <w:sz w:val="20"/>
                <w:szCs w:val="20"/>
              </w:rPr>
              <w:tab/>
              <w:t>Штука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Default="00195443" w:rsidP="00195443">
            <w:r w:rsidRPr="00833C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набор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43" w:rsidRPr="00066E53" w:rsidRDefault="00195443" w:rsidP="001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1069"/>
        <w:gridCol w:w="50"/>
        <w:gridCol w:w="4386"/>
        <w:gridCol w:w="4111"/>
      </w:tblGrid>
      <w:tr w:rsidR="002A1AF3" w:rsidRPr="00092270"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планируемой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Содержательная часть 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194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срок заключения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745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1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условия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поставки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поставлен в течение 5 (пяти) рабочих дней со дня направления Заказчиком соответствующей заявки.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по заявкам, полученным от Заказчика. 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направляется Поставщику по почте по адресу Поставщика, указанному в договоре либо </w:t>
            </w:r>
            <w:proofErr w:type="gramStart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телеграммой</w:t>
            </w:r>
            <w:proofErr w:type="gramEnd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 адресу электронной почты указанному в договоре.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по рабочим дням в период с 8-00 часов до 16-00 часов (время обеденного перерыва с 12-00 часов до 13-</w:t>
            </w:r>
            <w:proofErr w:type="gramStart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00)(</w:t>
            </w:r>
            <w:proofErr w:type="gramEnd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местному времени Заказчика).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поставки Товара является дата подписания Заказчиком (Получателем), товарных накладных по форме ТОРГ-12 («универсального передаточного документа») и (или) Акта сдачи-приемки Товара.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не позднее, чем за 24 часа до момента поставки Товара, должен уведомить Заказчика (Получателя) о планируемой отгрузке. Сообщение должно содержать ссылку на реквизиты договора, реквизиты соответствующей заявки, а также дату и планируемое время отгрузки. Досрочная поставка допускается только по согласованию с Заказчиком (Получателем). В случае согласования досрочной поставки Заказчик (Получатель) обязуется принять Товар и подписать товарные накладные по форме ТОРГ-12 </w:t>
            </w: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(«универсальный передаточный документ») и (или) Акт сдачи-приемки Товара и Акт соответствия/несоответствия Товара в порядке, установленном договором.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оплаты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 дней  с даты подписания Заказчиком товарных накладных по форме ТОРГ-12 («универсального передаточного документа») и/или Акта сдачи - приемки Товара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договора 5 % от начальной (максимальной) цены договора. 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гарантирует качество и безопасность поставляемого Товара в соответствии с настоящим договором, в объеме, указанном в Спецификации, а также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      </w:r>
          </w:p>
        </w:tc>
      </w:tr>
    </w:tbl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</w:t>
      </w:r>
      <w:r w:rsidR="00535CB2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 в табличной части.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предоста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ценовой информации: до 1</w:t>
      </w:r>
      <w:r w:rsidR="00A7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 </w:t>
      </w:r>
      <w:r w:rsidR="009F1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194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.01.2024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цена единицы товара и общая цена договора на условиях, указанных в запросе;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срок действия предлагаемой цены;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расчет предлагаемой цены с целью предупреждения намеренного завышения или занижения цен товаров;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(расходы на перевозку, страхование, уплату таможенных пошлин, налогов и других обязательных платежей).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5B4E30" w:rsidRPr="00092270" w:rsidRDefault="009142B8" w:rsidP="005B4E3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306 и (или) на электронную почту в формате 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crb-zakupki@bk.ru, и (или) посредством региональной информационной системы в сфере закупок Свердловской области.</w:t>
      </w:r>
    </w:p>
    <w:p w:rsidR="002A1AF3" w:rsidRPr="00092270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933"/>
        <w:gridCol w:w="7638"/>
      </w:tblGrid>
      <w:tr w:rsidR="002A1AF3" w:rsidRPr="0009227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 w:rsidRPr="0009227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982"/>
        <w:gridCol w:w="2400"/>
        <w:gridCol w:w="3189"/>
      </w:tblGrid>
      <w:tr w:rsidR="002A1AF3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AF3" w:rsidRDefault="002A1AF3"/>
    <w:sectPr w:rsidR="002A1AF3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2A1AF3"/>
    <w:rsid w:val="00066E53"/>
    <w:rsid w:val="00092270"/>
    <w:rsid w:val="00194E0E"/>
    <w:rsid w:val="00195443"/>
    <w:rsid w:val="002A1AF3"/>
    <w:rsid w:val="003B1668"/>
    <w:rsid w:val="00454237"/>
    <w:rsid w:val="00535CB2"/>
    <w:rsid w:val="005B4E30"/>
    <w:rsid w:val="00641108"/>
    <w:rsid w:val="006522AF"/>
    <w:rsid w:val="00722EF1"/>
    <w:rsid w:val="00745E12"/>
    <w:rsid w:val="008C4322"/>
    <w:rsid w:val="008D68B0"/>
    <w:rsid w:val="008E508E"/>
    <w:rsid w:val="009142B8"/>
    <w:rsid w:val="009D3D9A"/>
    <w:rsid w:val="009F1744"/>
    <w:rsid w:val="00A70566"/>
    <w:rsid w:val="00AE001A"/>
    <w:rsid w:val="00BD536A"/>
    <w:rsid w:val="00D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BD00"/>
  <w15:docId w15:val="{F259DD2C-8167-40F6-AFB3-B97ECEB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Body Text 3" w:uiPriority="0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FF"/>
      <w:u w:val="single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auto"/>
      <w:sz w:val="20"/>
      <w:szCs w:val="20"/>
    </w:rPr>
  </w:style>
  <w:style w:type="paragraph" w:customStyle="1" w:styleId="Pa1">
    <w:name w:val="Pa1"/>
    <w:basedOn w:val="a"/>
    <w:next w:val="a"/>
    <w:rsid w:val="005B4E30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922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2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066E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21">
    <w:name w:val="fontstyle21"/>
    <w:rsid w:val="00066E5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10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9F17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Emphasis"/>
    <w:qFormat/>
    <w:rsid w:val="009F1744"/>
    <w:rPr>
      <w:i/>
      <w:iCs/>
    </w:rPr>
  </w:style>
  <w:style w:type="paragraph" w:customStyle="1" w:styleId="11">
    <w:name w:val=" Знак Знак Знак Знак Знак Знак1 Знак Знак Знак Знак Знак Знак Знак Знак Знак Знак Знак Знак Знак Знак Знак Знак Знак Знак Знак"/>
    <w:basedOn w:val="a"/>
    <w:rsid w:val="001954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b-2@syse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41</cp:revision>
  <cp:lastPrinted>2021-10-14T11:46:00Z</cp:lastPrinted>
  <dcterms:created xsi:type="dcterms:W3CDTF">2021-10-14T11:07:00Z</dcterms:created>
  <dcterms:modified xsi:type="dcterms:W3CDTF">2024-01-08T14:45:00Z</dcterms:modified>
</cp:coreProperties>
</file>