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94" w:rsidRPr="00B60A54" w:rsidRDefault="00916C94" w:rsidP="00C056DA">
      <w:pPr>
        <w:jc w:val="center"/>
        <w:rPr>
          <w:b/>
        </w:rPr>
      </w:pPr>
      <w:r w:rsidRPr="00B60A54">
        <w:rPr>
          <w:b/>
        </w:rPr>
        <w:t xml:space="preserve">Извещение </w:t>
      </w:r>
    </w:p>
    <w:p w:rsidR="00916C94" w:rsidRPr="00B60A54" w:rsidRDefault="00916C94" w:rsidP="00C056DA">
      <w:pPr>
        <w:jc w:val="center"/>
        <w:rPr>
          <w:b/>
        </w:rPr>
      </w:pPr>
      <w:r w:rsidRPr="00B60A54">
        <w:rPr>
          <w:b/>
        </w:rPr>
        <w:t xml:space="preserve">о проведении неконкурентной закупки с использованием подсистемы </w:t>
      </w:r>
    </w:p>
    <w:p w:rsidR="00916C94" w:rsidRPr="00B60A54" w:rsidRDefault="00916C94" w:rsidP="00C056DA">
      <w:pPr>
        <w:jc w:val="center"/>
        <w:rPr>
          <w:b/>
        </w:rPr>
      </w:pPr>
      <w:r w:rsidRPr="00B60A54">
        <w:rPr>
          <w:b/>
        </w:rPr>
        <w:t xml:space="preserve">«Малая закупка»  </w:t>
      </w:r>
    </w:p>
    <w:p w:rsidR="00916C94" w:rsidRPr="00B60A54" w:rsidRDefault="00916C94" w:rsidP="00C056DA">
      <w:pPr>
        <w:jc w:val="center"/>
      </w:pPr>
    </w:p>
    <w:p w:rsidR="00916C94" w:rsidRPr="00B60A54" w:rsidRDefault="00916C94" w:rsidP="00C056DA">
      <w:pPr>
        <w:rPr>
          <w:vanish/>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2854"/>
        <w:gridCol w:w="6989"/>
      </w:tblGrid>
      <w:tr w:rsidR="00916C94" w:rsidRPr="00B60A54" w:rsidTr="00EC2C2E">
        <w:trPr>
          <w:trHeight w:val="345"/>
          <w:jc w:val="center"/>
        </w:trPr>
        <w:tc>
          <w:tcPr>
            <w:tcW w:w="333" w:type="pct"/>
            <w:vAlign w:val="center"/>
          </w:tcPr>
          <w:p w:rsidR="00916C94" w:rsidRPr="00B60A54" w:rsidRDefault="00916C94" w:rsidP="00EC2C2E">
            <w:pPr>
              <w:jc w:val="center"/>
              <w:rPr>
                <w:b/>
              </w:rPr>
            </w:pPr>
            <w:r w:rsidRPr="00B60A54">
              <w:rPr>
                <w:b/>
              </w:rPr>
              <w:t>№</w:t>
            </w:r>
          </w:p>
          <w:p w:rsidR="00916C94" w:rsidRPr="00B60A54" w:rsidRDefault="00916C94" w:rsidP="00EC2C2E">
            <w:pPr>
              <w:jc w:val="center"/>
              <w:rPr>
                <w:b/>
              </w:rPr>
            </w:pPr>
            <w:r w:rsidRPr="00B60A54">
              <w:rPr>
                <w:b/>
              </w:rPr>
              <w:t>п/п</w:t>
            </w:r>
          </w:p>
        </w:tc>
        <w:tc>
          <w:tcPr>
            <w:tcW w:w="1353" w:type="pct"/>
            <w:vAlign w:val="center"/>
          </w:tcPr>
          <w:p w:rsidR="00916C94" w:rsidRPr="00B60A54" w:rsidRDefault="00916C94" w:rsidP="00EC2C2E">
            <w:pPr>
              <w:jc w:val="center"/>
              <w:rPr>
                <w:b/>
              </w:rPr>
            </w:pPr>
            <w:r w:rsidRPr="00B60A54">
              <w:rPr>
                <w:b/>
              </w:rPr>
              <w:t>Наименование пункта</w:t>
            </w:r>
          </w:p>
        </w:tc>
        <w:tc>
          <w:tcPr>
            <w:tcW w:w="3314" w:type="pct"/>
            <w:vAlign w:val="center"/>
          </w:tcPr>
          <w:p w:rsidR="00916C94" w:rsidRPr="00B60A54" w:rsidRDefault="00916C94" w:rsidP="00EC2C2E">
            <w:pPr>
              <w:jc w:val="center"/>
              <w:rPr>
                <w:b/>
              </w:rPr>
            </w:pPr>
            <w:r w:rsidRPr="00B60A54">
              <w:rPr>
                <w:b/>
              </w:rPr>
              <w:t>Содержание пункта</w:t>
            </w:r>
          </w:p>
        </w:tc>
      </w:tr>
      <w:tr w:rsidR="00916C94" w:rsidRPr="00B60A54" w:rsidTr="00EC2C2E">
        <w:trPr>
          <w:jc w:val="center"/>
        </w:trPr>
        <w:tc>
          <w:tcPr>
            <w:tcW w:w="333" w:type="pct"/>
            <w:vMerge w:val="restart"/>
          </w:tcPr>
          <w:p w:rsidR="00916C94" w:rsidRPr="00486D2E" w:rsidRDefault="00916C94" w:rsidP="00EC2C2E">
            <w:pPr>
              <w:pStyle w:val="ListParagraph"/>
              <w:numPr>
                <w:ilvl w:val="0"/>
                <w:numId w:val="1"/>
              </w:numPr>
              <w:ind w:left="0" w:firstLine="0"/>
              <w:rPr>
                <w:szCs w:val="24"/>
                <w:lang w:eastAsia="en-US"/>
              </w:rPr>
            </w:pPr>
          </w:p>
        </w:tc>
        <w:tc>
          <w:tcPr>
            <w:tcW w:w="4667" w:type="pct"/>
            <w:gridSpan w:val="2"/>
          </w:tcPr>
          <w:p w:rsidR="00916C94" w:rsidRPr="00B60A54" w:rsidRDefault="00916C94" w:rsidP="00EC2C2E">
            <w:pPr>
              <w:rPr>
                <w:b/>
              </w:rPr>
            </w:pPr>
            <w:r w:rsidRPr="00B60A54">
              <w:rPr>
                <w:b/>
              </w:rPr>
              <w:t>Информация о заказчике</w:t>
            </w:r>
          </w:p>
        </w:tc>
      </w:tr>
      <w:tr w:rsidR="00916C94" w:rsidRPr="00B60A54" w:rsidTr="00EC2C2E">
        <w:trPr>
          <w:jc w:val="center"/>
        </w:trPr>
        <w:tc>
          <w:tcPr>
            <w:tcW w:w="333" w:type="pct"/>
            <w:vMerge/>
            <w:vAlign w:val="center"/>
          </w:tcPr>
          <w:p w:rsidR="00916C94" w:rsidRPr="00B60A54" w:rsidRDefault="00916C94" w:rsidP="00EC2C2E"/>
        </w:tc>
        <w:tc>
          <w:tcPr>
            <w:tcW w:w="1353" w:type="pct"/>
          </w:tcPr>
          <w:p w:rsidR="00916C94" w:rsidRPr="00B60A54" w:rsidRDefault="00916C94" w:rsidP="00EC2C2E">
            <w:r w:rsidRPr="00B60A54">
              <w:t>Наименование</w:t>
            </w:r>
          </w:p>
        </w:tc>
        <w:tc>
          <w:tcPr>
            <w:tcW w:w="3314" w:type="pct"/>
          </w:tcPr>
          <w:p w:rsidR="00916C94" w:rsidRPr="00B60A54" w:rsidRDefault="00916C94" w:rsidP="00FE4A98">
            <w:pPr>
              <w:suppressAutoHyphens w:val="0"/>
              <w:jc w:val="both"/>
            </w:pPr>
            <w:r w:rsidRPr="00B60A54">
              <w:t>Государственное автономное учреждение здравоохранения Свердловской области «Городская поликлиника № 4 город Нижний Тагил»</w:t>
            </w:r>
          </w:p>
        </w:tc>
      </w:tr>
      <w:tr w:rsidR="00916C94" w:rsidRPr="00B60A54" w:rsidTr="00EC2C2E">
        <w:trPr>
          <w:jc w:val="center"/>
        </w:trPr>
        <w:tc>
          <w:tcPr>
            <w:tcW w:w="333" w:type="pct"/>
            <w:vMerge/>
            <w:vAlign w:val="center"/>
          </w:tcPr>
          <w:p w:rsidR="00916C94" w:rsidRPr="00B60A54" w:rsidRDefault="00916C94" w:rsidP="00EC2C2E"/>
        </w:tc>
        <w:tc>
          <w:tcPr>
            <w:tcW w:w="1353" w:type="pct"/>
          </w:tcPr>
          <w:p w:rsidR="00916C94" w:rsidRPr="00B60A54" w:rsidRDefault="00916C94" w:rsidP="00EC2C2E">
            <w:r w:rsidRPr="00B60A54">
              <w:t>Место нахождения</w:t>
            </w:r>
          </w:p>
        </w:tc>
        <w:tc>
          <w:tcPr>
            <w:tcW w:w="3314" w:type="pct"/>
          </w:tcPr>
          <w:p w:rsidR="00916C94" w:rsidRPr="00B60A54" w:rsidRDefault="00916C94" w:rsidP="00EC2C2E">
            <w:pPr>
              <w:jc w:val="both"/>
            </w:pPr>
            <w:r w:rsidRPr="00B60A54">
              <w:t>Российская Федерация, Свердловская область, Нижний Тагил, ул. Новострой, 24</w:t>
            </w:r>
          </w:p>
        </w:tc>
      </w:tr>
      <w:tr w:rsidR="00916C94" w:rsidRPr="00B60A54" w:rsidTr="00EC2C2E">
        <w:trPr>
          <w:jc w:val="center"/>
        </w:trPr>
        <w:tc>
          <w:tcPr>
            <w:tcW w:w="333" w:type="pct"/>
            <w:vMerge/>
            <w:vAlign w:val="center"/>
          </w:tcPr>
          <w:p w:rsidR="00916C94" w:rsidRPr="00B60A54" w:rsidRDefault="00916C94" w:rsidP="00EC2C2E"/>
        </w:tc>
        <w:tc>
          <w:tcPr>
            <w:tcW w:w="1353" w:type="pct"/>
          </w:tcPr>
          <w:p w:rsidR="00916C94" w:rsidRPr="00B60A54" w:rsidRDefault="00916C94" w:rsidP="00EC2C2E">
            <w:r w:rsidRPr="00B60A54">
              <w:t>Почтовый адрес</w:t>
            </w:r>
          </w:p>
        </w:tc>
        <w:tc>
          <w:tcPr>
            <w:tcW w:w="3314" w:type="pct"/>
          </w:tcPr>
          <w:p w:rsidR="00916C94" w:rsidRPr="00B60A54" w:rsidRDefault="00916C94" w:rsidP="00EC2C2E">
            <w:pPr>
              <w:jc w:val="both"/>
            </w:pPr>
            <w:r w:rsidRPr="00B60A54">
              <w:t>622036, Свердловская область, Нижний Тагил, ул. Новострой, 24</w:t>
            </w:r>
          </w:p>
        </w:tc>
      </w:tr>
      <w:tr w:rsidR="00916C94" w:rsidRPr="00B60A54" w:rsidTr="004C51F8">
        <w:trPr>
          <w:jc w:val="center"/>
        </w:trPr>
        <w:tc>
          <w:tcPr>
            <w:tcW w:w="333" w:type="pct"/>
            <w:vMerge/>
            <w:vAlign w:val="center"/>
          </w:tcPr>
          <w:p w:rsidR="00916C94" w:rsidRPr="00B60A54" w:rsidRDefault="00916C94" w:rsidP="00EC2C2E"/>
        </w:tc>
        <w:tc>
          <w:tcPr>
            <w:tcW w:w="1353" w:type="pct"/>
          </w:tcPr>
          <w:p w:rsidR="00916C94" w:rsidRPr="00B60A54" w:rsidRDefault="00916C94" w:rsidP="00EC2C2E">
            <w:r w:rsidRPr="00B60A54">
              <w:t>Адрес электронной почты</w:t>
            </w:r>
          </w:p>
        </w:tc>
        <w:tc>
          <w:tcPr>
            <w:tcW w:w="3314" w:type="pct"/>
            <w:vAlign w:val="center"/>
          </w:tcPr>
          <w:p w:rsidR="00916C94" w:rsidRPr="00B60A54" w:rsidRDefault="00916C94" w:rsidP="004C51F8">
            <w:pPr>
              <w:shd w:val="clear" w:color="auto" w:fill="FFFFFF"/>
              <w:rPr>
                <w:lang w:val="en-US"/>
              </w:rPr>
            </w:pPr>
            <w:r w:rsidRPr="00B60A54">
              <w:t>419217</w:t>
            </w:r>
            <w:r w:rsidRPr="00B60A54">
              <w:rPr>
                <w:lang w:val="en-US"/>
              </w:rPr>
              <w:t>gp4@mail.ru</w:t>
            </w:r>
          </w:p>
        </w:tc>
      </w:tr>
      <w:tr w:rsidR="00916C94" w:rsidRPr="00B60A54" w:rsidTr="00EC2C2E">
        <w:trPr>
          <w:jc w:val="center"/>
        </w:trPr>
        <w:tc>
          <w:tcPr>
            <w:tcW w:w="333" w:type="pct"/>
            <w:vMerge/>
            <w:vAlign w:val="center"/>
          </w:tcPr>
          <w:p w:rsidR="00916C94" w:rsidRPr="00B60A54" w:rsidRDefault="00916C94" w:rsidP="00EC2C2E"/>
        </w:tc>
        <w:tc>
          <w:tcPr>
            <w:tcW w:w="1353" w:type="pct"/>
          </w:tcPr>
          <w:p w:rsidR="00916C94" w:rsidRPr="00B60A54" w:rsidRDefault="00916C94" w:rsidP="00EC2C2E">
            <w:r w:rsidRPr="00B60A54">
              <w:t>Контактное лицо</w:t>
            </w:r>
          </w:p>
        </w:tc>
        <w:tc>
          <w:tcPr>
            <w:tcW w:w="3314" w:type="pct"/>
            <w:vAlign w:val="center"/>
          </w:tcPr>
          <w:p w:rsidR="00916C94" w:rsidRPr="00B60A54" w:rsidRDefault="00916C94" w:rsidP="00EC2C2E">
            <w:pPr>
              <w:widowControl w:val="0"/>
              <w:autoSpaceDE w:val="0"/>
              <w:autoSpaceDN w:val="0"/>
              <w:adjustRightInd w:val="0"/>
              <w:jc w:val="both"/>
            </w:pPr>
            <w:r w:rsidRPr="00B60A54">
              <w:t>Руководитель контрактной службы Груздева Наталья Владимировна, тел. 8 (343) 41-92-17;</w:t>
            </w:r>
            <w:r>
              <w:t xml:space="preserve"> 419217</w:t>
            </w:r>
            <w:r>
              <w:rPr>
                <w:lang w:val="en-US"/>
              </w:rPr>
              <w:t>gp</w:t>
            </w:r>
            <w:r w:rsidRPr="00B60A54">
              <w:t>4@</w:t>
            </w:r>
            <w:r>
              <w:rPr>
                <w:lang w:val="en-US"/>
              </w:rPr>
              <w:t>mail</w:t>
            </w:r>
            <w:r w:rsidRPr="00B60A54">
              <w:t>.</w:t>
            </w:r>
            <w:r>
              <w:rPr>
                <w:lang w:val="en-US"/>
              </w:rPr>
              <w:t>ru</w:t>
            </w:r>
          </w:p>
          <w:p w:rsidR="00916C94" w:rsidRPr="00FE4A98" w:rsidRDefault="00916C94" w:rsidP="00C056DA">
            <w:pPr>
              <w:autoSpaceDE w:val="0"/>
              <w:autoSpaceDN w:val="0"/>
              <w:adjustRightInd w:val="0"/>
              <w:jc w:val="both"/>
              <w:rPr>
                <w:bCs/>
              </w:rPr>
            </w:pPr>
            <w:r w:rsidRPr="00FE4A98">
              <w:rPr>
                <w:bCs/>
              </w:rPr>
              <w:t xml:space="preserve">Кладовщик – Гусейнова Татьяна Викторовна, тел. </w:t>
            </w:r>
            <w:r w:rsidRPr="00FE4A98">
              <w:t>89292172171</w:t>
            </w:r>
          </w:p>
          <w:p w:rsidR="00916C94" w:rsidRPr="00363F2C" w:rsidRDefault="00916C94" w:rsidP="00FE4A98">
            <w:pPr>
              <w:autoSpaceDE w:val="0"/>
              <w:autoSpaceDN w:val="0"/>
              <w:adjustRightInd w:val="0"/>
              <w:jc w:val="both"/>
              <w:rPr>
                <w:b/>
                <w:bCs/>
              </w:rPr>
            </w:pPr>
          </w:p>
        </w:tc>
      </w:tr>
      <w:tr w:rsidR="00916C94" w:rsidRPr="00B60A54" w:rsidTr="00EC2C2E">
        <w:trPr>
          <w:jc w:val="center"/>
        </w:trPr>
        <w:tc>
          <w:tcPr>
            <w:tcW w:w="333" w:type="pct"/>
          </w:tcPr>
          <w:p w:rsidR="00916C94" w:rsidRPr="00486D2E" w:rsidRDefault="00916C94" w:rsidP="00EC2C2E">
            <w:pPr>
              <w:pStyle w:val="ListParagraph"/>
              <w:numPr>
                <w:ilvl w:val="0"/>
                <w:numId w:val="1"/>
              </w:numPr>
              <w:ind w:left="0" w:firstLine="0"/>
              <w:rPr>
                <w:szCs w:val="24"/>
                <w:lang w:eastAsia="en-US"/>
              </w:rPr>
            </w:pPr>
          </w:p>
        </w:tc>
        <w:tc>
          <w:tcPr>
            <w:tcW w:w="1353" w:type="pct"/>
          </w:tcPr>
          <w:p w:rsidR="00916C94" w:rsidRPr="00B60A54" w:rsidRDefault="00916C94" w:rsidP="00EC2C2E">
            <w:pPr>
              <w:rPr>
                <w:b/>
              </w:rPr>
            </w:pPr>
            <w:r w:rsidRPr="00B60A54">
              <w:rPr>
                <w:b/>
              </w:rPr>
              <w:t>Способ закупки</w:t>
            </w:r>
          </w:p>
        </w:tc>
        <w:tc>
          <w:tcPr>
            <w:tcW w:w="3314" w:type="pct"/>
          </w:tcPr>
          <w:p w:rsidR="00916C94" w:rsidRPr="00B60A54" w:rsidRDefault="00916C94" w:rsidP="00EC2C2E">
            <w:pPr>
              <w:jc w:val="both"/>
            </w:pPr>
            <w:r w:rsidRPr="00B60A54">
              <w:t>Неконкурентная закупка с использованием подсистемы «Малые закупки»</w:t>
            </w:r>
          </w:p>
        </w:tc>
      </w:tr>
      <w:tr w:rsidR="00916C94" w:rsidRPr="00B60A54" w:rsidTr="00EC2C2E">
        <w:trPr>
          <w:jc w:val="center"/>
        </w:trPr>
        <w:tc>
          <w:tcPr>
            <w:tcW w:w="333" w:type="pct"/>
          </w:tcPr>
          <w:p w:rsidR="00916C94" w:rsidRPr="00486D2E" w:rsidRDefault="00916C94" w:rsidP="00EC2C2E">
            <w:pPr>
              <w:pStyle w:val="ListParagraph"/>
              <w:numPr>
                <w:ilvl w:val="0"/>
                <w:numId w:val="1"/>
              </w:numPr>
              <w:ind w:left="0" w:firstLine="0"/>
              <w:rPr>
                <w:szCs w:val="24"/>
                <w:lang w:eastAsia="en-US"/>
              </w:rPr>
            </w:pPr>
          </w:p>
        </w:tc>
        <w:tc>
          <w:tcPr>
            <w:tcW w:w="1353" w:type="pct"/>
          </w:tcPr>
          <w:p w:rsidR="00916C94" w:rsidRPr="00B60A54" w:rsidRDefault="00916C94" w:rsidP="00EC2C2E">
            <w:r w:rsidRPr="00B60A54">
              <w:rPr>
                <w:b/>
              </w:rPr>
              <w:t>Адрес электронной площадки в информационно-телекоммуникационной сети «Интернет»</w:t>
            </w:r>
          </w:p>
        </w:tc>
        <w:tc>
          <w:tcPr>
            <w:tcW w:w="3314" w:type="pct"/>
            <w:vAlign w:val="center"/>
          </w:tcPr>
          <w:p w:rsidR="00916C94" w:rsidRPr="00B60A54" w:rsidRDefault="00916C94" w:rsidP="00EC2C2E">
            <w:pPr>
              <w:jc w:val="both"/>
            </w:pPr>
            <w:r w:rsidRPr="00B60A54">
              <w:t>https://torgi.midural.ru/</w:t>
            </w:r>
          </w:p>
        </w:tc>
      </w:tr>
      <w:tr w:rsidR="00916C94" w:rsidRPr="00B60A54" w:rsidTr="00EC2C2E">
        <w:trPr>
          <w:jc w:val="center"/>
        </w:trPr>
        <w:tc>
          <w:tcPr>
            <w:tcW w:w="333" w:type="pct"/>
            <w:vMerge w:val="restart"/>
          </w:tcPr>
          <w:p w:rsidR="00916C94" w:rsidRPr="00486D2E" w:rsidRDefault="00916C94" w:rsidP="00EC2C2E">
            <w:pPr>
              <w:pStyle w:val="ListParagraph"/>
              <w:numPr>
                <w:ilvl w:val="0"/>
                <w:numId w:val="1"/>
              </w:numPr>
              <w:ind w:left="0" w:firstLine="0"/>
              <w:rPr>
                <w:szCs w:val="24"/>
                <w:lang w:eastAsia="en-US"/>
              </w:rPr>
            </w:pPr>
          </w:p>
        </w:tc>
        <w:tc>
          <w:tcPr>
            <w:tcW w:w="4667" w:type="pct"/>
            <w:gridSpan w:val="2"/>
          </w:tcPr>
          <w:p w:rsidR="00916C94" w:rsidRPr="00B60A54" w:rsidRDefault="00916C94" w:rsidP="00EC2C2E">
            <w:r w:rsidRPr="00B60A54">
              <w:rPr>
                <w:b/>
              </w:rPr>
              <w:t>Краткое изложение условий договора</w:t>
            </w:r>
          </w:p>
        </w:tc>
      </w:tr>
      <w:tr w:rsidR="00916C94" w:rsidRPr="00B60A54" w:rsidTr="00EC2C2E">
        <w:trPr>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r w:rsidRPr="00B60A54">
              <w:t>Предмет договора (объект закупки)</w:t>
            </w:r>
          </w:p>
        </w:tc>
        <w:tc>
          <w:tcPr>
            <w:tcW w:w="3314" w:type="pct"/>
          </w:tcPr>
          <w:p w:rsidR="00916C94" w:rsidRPr="00B60A54" w:rsidRDefault="00916C94" w:rsidP="00130FA7">
            <w:pPr>
              <w:jc w:val="both"/>
              <w:rPr>
                <w:b/>
              </w:rPr>
            </w:pPr>
            <w:r>
              <w:rPr>
                <w:b/>
              </w:rPr>
              <w:t>Оказание услуг по изготовлению и поставке медицинских бланков</w:t>
            </w:r>
          </w:p>
        </w:tc>
      </w:tr>
      <w:tr w:rsidR="00916C94" w:rsidRPr="00B60A54" w:rsidTr="00EC2C2E">
        <w:trPr>
          <w:trHeight w:val="1477"/>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r w:rsidRPr="00B60A54">
              <w:t>Количество поставляемого товара товара/объема выполняемой работы/оказываемой услуги, в том числе краткое описание предмета закупки</w:t>
            </w:r>
          </w:p>
        </w:tc>
        <w:tc>
          <w:tcPr>
            <w:tcW w:w="3314" w:type="pct"/>
            <w:vAlign w:val="center"/>
          </w:tcPr>
          <w:tbl>
            <w:tblPr>
              <w:tblW w:w="6439" w:type="dxa"/>
              <w:tblLook w:val="00A0"/>
            </w:tblPr>
            <w:tblGrid>
              <w:gridCol w:w="751"/>
              <w:gridCol w:w="3960"/>
              <w:gridCol w:w="900"/>
              <w:gridCol w:w="828"/>
            </w:tblGrid>
            <w:tr w:rsidR="00916C94" w:rsidRPr="004873FB" w:rsidTr="004873FB">
              <w:trPr>
                <w:trHeight w:val="693"/>
              </w:trPr>
              <w:tc>
                <w:tcPr>
                  <w:tcW w:w="751" w:type="dxa"/>
                  <w:tcBorders>
                    <w:top w:val="single" w:sz="4" w:space="0" w:color="auto"/>
                    <w:left w:val="single" w:sz="4" w:space="0" w:color="auto"/>
                    <w:bottom w:val="single" w:sz="4" w:space="0" w:color="auto"/>
                    <w:right w:val="nil"/>
                  </w:tcBorders>
                  <w:vAlign w:val="center"/>
                </w:tcPr>
                <w:p w:rsidR="00916C94" w:rsidRPr="004873FB" w:rsidRDefault="00916C94" w:rsidP="00C056DA">
                  <w:pPr>
                    <w:suppressAutoHyphens w:val="0"/>
                    <w:jc w:val="center"/>
                    <w:rPr>
                      <w:color w:val="000000"/>
                      <w:lang w:eastAsia="ru-RU"/>
                    </w:rPr>
                  </w:pPr>
                  <w:r w:rsidRPr="004873FB">
                    <w:rPr>
                      <w:color w:val="000000"/>
                      <w:lang w:eastAsia="ru-RU"/>
                    </w:rPr>
                    <w:t>№ п/п</w:t>
                  </w:r>
                </w:p>
              </w:tc>
              <w:tc>
                <w:tcPr>
                  <w:tcW w:w="3960" w:type="dxa"/>
                  <w:tcBorders>
                    <w:top w:val="single" w:sz="4" w:space="0" w:color="auto"/>
                    <w:left w:val="single" w:sz="4" w:space="0" w:color="auto"/>
                    <w:bottom w:val="single" w:sz="4" w:space="0" w:color="auto"/>
                    <w:right w:val="single" w:sz="4" w:space="0" w:color="auto"/>
                  </w:tcBorders>
                  <w:vAlign w:val="center"/>
                </w:tcPr>
                <w:p w:rsidR="00916C94" w:rsidRPr="004873FB" w:rsidRDefault="00916C94" w:rsidP="00C056DA">
                  <w:pPr>
                    <w:suppressAutoHyphens w:val="0"/>
                    <w:jc w:val="center"/>
                    <w:rPr>
                      <w:color w:val="000000"/>
                      <w:lang w:eastAsia="ru-RU"/>
                    </w:rPr>
                  </w:pPr>
                  <w:r w:rsidRPr="004873FB">
                    <w:rPr>
                      <w:color w:val="000000"/>
                      <w:lang w:eastAsia="ru-RU"/>
                    </w:rPr>
                    <w:t xml:space="preserve">Наименование Товара </w:t>
                  </w:r>
                </w:p>
              </w:tc>
              <w:tc>
                <w:tcPr>
                  <w:tcW w:w="900" w:type="dxa"/>
                  <w:tcBorders>
                    <w:top w:val="single" w:sz="4" w:space="0" w:color="auto"/>
                    <w:left w:val="nil"/>
                    <w:bottom w:val="single" w:sz="4" w:space="0" w:color="auto"/>
                    <w:right w:val="single" w:sz="4" w:space="0" w:color="auto"/>
                  </w:tcBorders>
                  <w:vAlign w:val="center"/>
                </w:tcPr>
                <w:p w:rsidR="00916C94" w:rsidRPr="004873FB" w:rsidRDefault="00916C94" w:rsidP="00C056DA">
                  <w:pPr>
                    <w:suppressAutoHyphens w:val="0"/>
                    <w:jc w:val="center"/>
                    <w:rPr>
                      <w:color w:val="000000"/>
                      <w:lang w:eastAsia="ru-RU"/>
                    </w:rPr>
                  </w:pPr>
                  <w:r w:rsidRPr="004873FB">
                    <w:rPr>
                      <w:color w:val="000000"/>
                      <w:lang w:eastAsia="ru-RU"/>
                    </w:rPr>
                    <w:t>Ед. изм.</w:t>
                  </w:r>
                </w:p>
              </w:tc>
              <w:tc>
                <w:tcPr>
                  <w:tcW w:w="828" w:type="dxa"/>
                  <w:tcBorders>
                    <w:top w:val="single" w:sz="4" w:space="0" w:color="auto"/>
                    <w:left w:val="nil"/>
                    <w:bottom w:val="single" w:sz="4" w:space="0" w:color="auto"/>
                    <w:right w:val="single" w:sz="4" w:space="0" w:color="auto"/>
                  </w:tcBorders>
                  <w:vAlign w:val="center"/>
                </w:tcPr>
                <w:p w:rsidR="00916C94" w:rsidRPr="004873FB" w:rsidRDefault="00916C94" w:rsidP="00C056DA">
                  <w:pPr>
                    <w:suppressAutoHyphens w:val="0"/>
                    <w:jc w:val="center"/>
                    <w:rPr>
                      <w:color w:val="000000"/>
                      <w:lang w:eastAsia="ru-RU"/>
                    </w:rPr>
                  </w:pPr>
                  <w:r w:rsidRPr="004873FB">
                    <w:rPr>
                      <w:color w:val="000000"/>
                      <w:lang w:eastAsia="ru-RU"/>
                    </w:rPr>
                    <w:t>Кол-во</w:t>
                  </w:r>
                </w:p>
              </w:tc>
            </w:tr>
            <w:tr w:rsidR="00916C94" w:rsidRPr="004873FB" w:rsidTr="004873FB">
              <w:trPr>
                <w:trHeight w:val="693"/>
              </w:trPr>
              <w:tc>
                <w:tcPr>
                  <w:tcW w:w="751" w:type="dxa"/>
                  <w:tcBorders>
                    <w:top w:val="single" w:sz="4" w:space="0" w:color="auto"/>
                    <w:left w:val="single" w:sz="4" w:space="0" w:color="auto"/>
                    <w:bottom w:val="single" w:sz="4" w:space="0" w:color="auto"/>
                    <w:right w:val="nil"/>
                  </w:tcBorders>
                  <w:vAlign w:val="center"/>
                </w:tcPr>
                <w:p w:rsidR="00916C94" w:rsidRPr="004873FB" w:rsidRDefault="00916C94" w:rsidP="00C056DA">
                  <w:pPr>
                    <w:suppressAutoHyphens w:val="0"/>
                    <w:jc w:val="center"/>
                    <w:rPr>
                      <w:color w:val="000000"/>
                      <w:lang w:eastAsia="ru-RU"/>
                    </w:rPr>
                  </w:pPr>
                  <w:r w:rsidRPr="004873FB">
                    <w:rPr>
                      <w:color w:val="000000"/>
                      <w:lang w:eastAsia="ru-RU"/>
                    </w:rPr>
                    <w:t>1</w:t>
                  </w:r>
                </w:p>
              </w:tc>
              <w:tc>
                <w:tcPr>
                  <w:tcW w:w="3960" w:type="dxa"/>
                  <w:tcBorders>
                    <w:top w:val="single" w:sz="4" w:space="0" w:color="auto"/>
                    <w:left w:val="single" w:sz="4" w:space="0" w:color="auto"/>
                    <w:bottom w:val="single" w:sz="4" w:space="0" w:color="auto"/>
                    <w:right w:val="single" w:sz="4" w:space="0" w:color="auto"/>
                  </w:tcBorders>
                  <w:vAlign w:val="center"/>
                </w:tcPr>
                <w:p w:rsidR="00916C94" w:rsidRPr="004873FB" w:rsidRDefault="00916C94" w:rsidP="004873FB">
                  <w:pPr>
                    <w:rPr>
                      <w:color w:val="000000"/>
                    </w:rPr>
                  </w:pPr>
                  <w:r w:rsidRPr="004873FB">
                    <w:rPr>
                      <w:color w:val="000000"/>
                    </w:rPr>
                    <w:t>Бланк «Информированное добровольное согласие на виды медицинских вмешательств» (для процедуры ЭГДС)</w:t>
                  </w:r>
                </w:p>
              </w:tc>
              <w:tc>
                <w:tcPr>
                  <w:tcW w:w="900" w:type="dxa"/>
                  <w:tcBorders>
                    <w:top w:val="single" w:sz="4" w:space="0" w:color="auto"/>
                    <w:left w:val="nil"/>
                    <w:bottom w:val="single" w:sz="4" w:space="0" w:color="auto"/>
                    <w:right w:val="single" w:sz="4" w:space="0" w:color="auto"/>
                  </w:tcBorders>
                  <w:vAlign w:val="center"/>
                </w:tcPr>
                <w:p w:rsidR="00916C94" w:rsidRPr="004873FB" w:rsidRDefault="00916C94" w:rsidP="008C16BF">
                  <w:pPr>
                    <w:suppressAutoHyphens w:val="0"/>
                    <w:jc w:val="center"/>
                    <w:rPr>
                      <w:color w:val="000000"/>
                      <w:lang w:eastAsia="ru-RU"/>
                    </w:rPr>
                  </w:pPr>
                  <w:r w:rsidRPr="004873FB">
                    <w:rPr>
                      <w:color w:val="000000"/>
                      <w:lang w:eastAsia="ru-RU"/>
                    </w:rPr>
                    <w:t>шт</w:t>
                  </w:r>
                </w:p>
              </w:tc>
              <w:tc>
                <w:tcPr>
                  <w:tcW w:w="828" w:type="dxa"/>
                  <w:tcBorders>
                    <w:top w:val="single" w:sz="4" w:space="0" w:color="auto"/>
                    <w:left w:val="nil"/>
                    <w:bottom w:val="single" w:sz="4" w:space="0" w:color="auto"/>
                    <w:right w:val="single" w:sz="4" w:space="0" w:color="auto"/>
                  </w:tcBorders>
                  <w:vAlign w:val="center"/>
                </w:tcPr>
                <w:p w:rsidR="00916C94" w:rsidRPr="004873FB" w:rsidRDefault="00916C94" w:rsidP="008C16BF">
                  <w:pPr>
                    <w:suppressAutoHyphens w:val="0"/>
                    <w:jc w:val="center"/>
                    <w:rPr>
                      <w:color w:val="000000"/>
                      <w:lang w:eastAsia="ru-RU"/>
                    </w:rPr>
                  </w:pPr>
                  <w:r w:rsidRPr="004873FB">
                    <w:rPr>
                      <w:color w:val="000000"/>
                      <w:lang w:eastAsia="ru-RU"/>
                    </w:rPr>
                    <w:t>2000</w:t>
                  </w:r>
                </w:p>
              </w:tc>
            </w:tr>
          </w:tbl>
          <w:p w:rsidR="00916C94" w:rsidRPr="00B60A54" w:rsidRDefault="00916C94" w:rsidP="00EC2C2E">
            <w:pPr>
              <w:jc w:val="both"/>
            </w:pPr>
          </w:p>
        </w:tc>
      </w:tr>
      <w:tr w:rsidR="00916C94" w:rsidRPr="00B60A54" w:rsidTr="00EC2C2E">
        <w:trPr>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pPr>
              <w:keepNext/>
              <w:keepLines/>
            </w:pPr>
            <w:r w:rsidRPr="00B60A54">
              <w:t>Место поставки товара/выполнения работы/оказания услуги</w:t>
            </w:r>
          </w:p>
        </w:tc>
        <w:tc>
          <w:tcPr>
            <w:tcW w:w="3314" w:type="pct"/>
            <w:vAlign w:val="center"/>
          </w:tcPr>
          <w:p w:rsidR="00916C94" w:rsidRPr="00B02F7C" w:rsidRDefault="00916C94" w:rsidP="00C056DA">
            <w:pPr>
              <w:autoSpaceDE w:val="0"/>
              <w:autoSpaceDN w:val="0"/>
              <w:adjustRightInd w:val="0"/>
              <w:jc w:val="both"/>
              <w:rPr>
                <w:b/>
              </w:rPr>
            </w:pPr>
            <w:r w:rsidRPr="00B02F7C">
              <w:t xml:space="preserve">Свердловская область, город Нижний Тагил, улица Новострой, 24, ГАУЗ СО «Городская поликлиника № 4», </w:t>
            </w:r>
            <w:r w:rsidRPr="00B02F7C">
              <w:rPr>
                <w:b/>
              </w:rPr>
              <w:t>на склад Заказчика, силами и средствами Поставщика.</w:t>
            </w:r>
          </w:p>
          <w:p w:rsidR="00916C94" w:rsidRPr="00B60A54" w:rsidRDefault="00916C94" w:rsidP="00C056DA">
            <w:pPr>
              <w:ind w:right="15"/>
              <w:jc w:val="both"/>
            </w:pPr>
          </w:p>
        </w:tc>
      </w:tr>
      <w:tr w:rsidR="00916C94" w:rsidRPr="00B60A54" w:rsidTr="00EC2C2E">
        <w:trPr>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pPr>
              <w:keepNext/>
              <w:keepLines/>
            </w:pPr>
            <w:r w:rsidRPr="00B60A54">
              <w:t>Сроки и условия поставки товаров/выполнения работы/оказания услуги</w:t>
            </w:r>
          </w:p>
        </w:tc>
        <w:tc>
          <w:tcPr>
            <w:tcW w:w="3314" w:type="pct"/>
          </w:tcPr>
          <w:p w:rsidR="00916C94" w:rsidRPr="00130FA7" w:rsidRDefault="00916C94" w:rsidP="00130FA7">
            <w:pPr>
              <w:widowControl w:val="0"/>
              <w:autoSpaceDE w:val="0"/>
              <w:autoSpaceDN w:val="0"/>
              <w:adjustRightInd w:val="0"/>
              <w:jc w:val="both"/>
              <w:rPr>
                <w:b/>
              </w:rPr>
            </w:pPr>
            <w:r w:rsidRPr="009C41FD">
              <w:rPr>
                <w:b/>
              </w:rPr>
              <w:t xml:space="preserve">Товар должен быть предоставлен в распоряжение Заказчика одной партией, единовременно, в </w:t>
            </w:r>
            <w:r w:rsidRPr="00593BD6">
              <w:rPr>
                <w:b/>
              </w:rPr>
              <w:t>течение 10 (десяти)</w:t>
            </w:r>
            <w:r w:rsidRPr="009C41FD">
              <w:rPr>
                <w:b/>
              </w:rPr>
              <w:t xml:space="preserve"> рабочих дней со дня, следующего за днем подписания договора.</w:t>
            </w:r>
          </w:p>
          <w:p w:rsidR="00916C94" w:rsidRPr="00DB5C50" w:rsidRDefault="00916C94" w:rsidP="00EC2C2E">
            <w:pPr>
              <w:widowControl w:val="0"/>
              <w:autoSpaceDE w:val="0"/>
              <w:autoSpaceDN w:val="0"/>
              <w:adjustRightInd w:val="0"/>
              <w:ind w:right="42"/>
              <w:jc w:val="both"/>
              <w:rPr>
                <w:bCs/>
              </w:rPr>
            </w:pPr>
          </w:p>
        </w:tc>
      </w:tr>
      <w:tr w:rsidR="00916C94" w:rsidRPr="00B60A54" w:rsidTr="00EC2C2E">
        <w:trPr>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r w:rsidRPr="00B60A54">
              <w:t>Начальная (максимальная) цена договора (далее – НМЦД) и порядок её формирования</w:t>
            </w:r>
          </w:p>
          <w:p w:rsidR="00916C94" w:rsidRPr="00B60A54" w:rsidRDefault="00916C94" w:rsidP="00EC2C2E"/>
        </w:tc>
        <w:tc>
          <w:tcPr>
            <w:tcW w:w="3314" w:type="pct"/>
          </w:tcPr>
          <w:p w:rsidR="00916C94" w:rsidRPr="004C1CEE" w:rsidRDefault="00916C94" w:rsidP="00EC2C2E">
            <w:pPr>
              <w:rPr>
                <w:color w:val="000000"/>
                <w:shd w:val="clear" w:color="auto" w:fill="FFFFFF"/>
              </w:rPr>
            </w:pPr>
            <w:r w:rsidRPr="004C1CEE">
              <w:rPr>
                <w:color w:val="000000"/>
                <w:shd w:val="clear" w:color="auto" w:fill="FFFFFF"/>
              </w:rPr>
              <w:t>5 800,00 (Пять тысяч восемьсот рублей 00 копеек)</w:t>
            </w:r>
          </w:p>
          <w:p w:rsidR="00916C94" w:rsidRPr="00B60A54" w:rsidRDefault="00916C94" w:rsidP="00EC2C2E">
            <w:pPr>
              <w:rPr>
                <w:iCs/>
              </w:rPr>
            </w:pPr>
          </w:p>
          <w:p w:rsidR="00916C94" w:rsidRPr="00B60A54" w:rsidRDefault="00916C94" w:rsidP="004C1CEE">
            <w:pPr>
              <w:jc w:val="both"/>
              <w:rPr>
                <w:iCs/>
              </w:rPr>
            </w:pPr>
            <w:r w:rsidRPr="00B60A54">
              <w:rPr>
                <w:iCs/>
              </w:rPr>
              <w:t>НМЦД сформирована в соответствии с Приложением №2 к Положению о закупках Заказчика посредством метода сопоставимых рыночных цен (анализа рынка).</w:t>
            </w:r>
          </w:p>
          <w:p w:rsidR="00916C94" w:rsidRPr="00B60A54" w:rsidRDefault="00916C94" w:rsidP="004C1CEE">
            <w:pPr>
              <w:jc w:val="both"/>
              <w:rPr>
                <w:b/>
                <w:color w:val="F0EEE5"/>
              </w:rPr>
            </w:pPr>
            <w:r w:rsidRPr="00B60A54">
              <w:rPr>
                <w:iCs/>
              </w:rPr>
              <w:t>Ц</w:t>
            </w:r>
            <w:r w:rsidRPr="00B60A54">
              <w:t>ена Договора включает в себя стоимость услуг, включая стоимость всех материалов и оборудования, необходимых для оказания услуг, все налоги, сборы и другие обязательные платежи, предусмотренные законодательством Российской Федерации, а также иные расходы и предпринимательские риски Исполнителя, связанные с исполнением Договора.</w:t>
            </w:r>
          </w:p>
        </w:tc>
      </w:tr>
      <w:tr w:rsidR="00916C94" w:rsidRPr="00B60A54" w:rsidTr="00EC2C2E">
        <w:trPr>
          <w:trHeight w:val="360"/>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r w:rsidRPr="00B60A54">
              <w:t>Форма, сроки и порядок оплаты товара, работы, услуги</w:t>
            </w:r>
          </w:p>
        </w:tc>
        <w:tc>
          <w:tcPr>
            <w:tcW w:w="3314" w:type="pct"/>
          </w:tcPr>
          <w:p w:rsidR="00916C94" w:rsidRPr="00B60A54" w:rsidRDefault="00916C94" w:rsidP="00EC2C2E">
            <w:pPr>
              <w:jc w:val="both"/>
            </w:pPr>
            <w:r>
              <w:rPr>
                <w:bCs/>
              </w:rPr>
              <w:t>Заказчик оплачивает оказанные услуги в соответствии с договором, единовременным платежом путем перечисления цены договора</w:t>
            </w:r>
            <w:r>
              <w:rPr>
                <w:bCs/>
                <w:i/>
              </w:rPr>
              <w:t>,</w:t>
            </w:r>
            <w:r>
              <w:rPr>
                <w:bCs/>
              </w:rPr>
              <w:t xml:space="preserve"> на банковский счет Исполнителя </w:t>
            </w:r>
            <w:r w:rsidRPr="00305BB0">
              <w:rPr>
                <w:b/>
                <w:bCs/>
                <w:i/>
              </w:rPr>
              <w:t>в течение 7 (семи) рабочих дней</w:t>
            </w:r>
            <w:r>
              <w:rPr>
                <w:bCs/>
              </w:rPr>
              <w:t xml:space="preserve"> </w:t>
            </w:r>
            <w:r w:rsidRPr="00BB12BF">
              <w:t>со дня подписания Заказчиком документа о приемке товара (накладная, ТН, ТТН, УПД), путем безналичного перечисления денежных средств.</w:t>
            </w:r>
          </w:p>
        </w:tc>
      </w:tr>
      <w:tr w:rsidR="00916C94" w:rsidRPr="00B60A54" w:rsidTr="00EC2C2E">
        <w:trPr>
          <w:trHeight w:val="360"/>
          <w:jc w:val="center"/>
        </w:trPr>
        <w:tc>
          <w:tcPr>
            <w:tcW w:w="333" w:type="pct"/>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pPr>
              <w:pStyle w:val="a"/>
              <w:jc w:val="both"/>
              <w:rPr>
                <w:b/>
              </w:rPr>
            </w:pPr>
            <w:r w:rsidRPr="00B60A54">
              <w:rPr>
                <w:b/>
              </w:rPr>
              <w:t>Отказ от проведения закупки</w:t>
            </w:r>
          </w:p>
        </w:tc>
        <w:tc>
          <w:tcPr>
            <w:tcW w:w="3314" w:type="pct"/>
          </w:tcPr>
          <w:p w:rsidR="00916C94" w:rsidRPr="00B60A54" w:rsidRDefault="00916C94" w:rsidP="00EC2C2E">
            <w:pPr>
              <w:pStyle w:val="a"/>
              <w:jc w:val="both"/>
              <w:rPr>
                <w:lang w:eastAsia="ru-RU"/>
              </w:rPr>
            </w:pPr>
            <w:r w:rsidRPr="00B60A54">
              <w:rPr>
                <w:lang w:eastAsia="ru-RU"/>
              </w:rPr>
              <w:t>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rsidR="00916C94" w:rsidRPr="00B60A54" w:rsidRDefault="00916C94" w:rsidP="00EC2C2E">
            <w:pPr>
              <w:pStyle w:val="a"/>
              <w:jc w:val="both"/>
              <w:rPr>
                <w:b/>
                <w:lang w:eastAsia="ru-RU"/>
              </w:rPr>
            </w:pPr>
            <w:r w:rsidRPr="00B60A54">
              <w:rPr>
                <w:lang w:eastAsia="ru-RU"/>
              </w:rPr>
              <w:t>Проведение данной процедуры сбора информации не влечет за собой возникновение каких-либо обязательств Заказчика.</w:t>
            </w:r>
          </w:p>
        </w:tc>
      </w:tr>
      <w:tr w:rsidR="00916C94" w:rsidRPr="00B60A54" w:rsidTr="00EC2C2E">
        <w:trPr>
          <w:trHeight w:val="360"/>
          <w:jc w:val="center"/>
        </w:trPr>
        <w:tc>
          <w:tcPr>
            <w:tcW w:w="333" w:type="pct"/>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pPr>
              <w:ind w:right="175"/>
              <w:rPr>
                <w:b/>
              </w:rPr>
            </w:pPr>
            <w:r w:rsidRPr="00B60A54">
              <w:rPr>
                <w:b/>
              </w:rPr>
              <w:t>Требование к участникам закупки</w:t>
            </w:r>
          </w:p>
        </w:tc>
        <w:tc>
          <w:tcPr>
            <w:tcW w:w="3314" w:type="pct"/>
          </w:tcPr>
          <w:p w:rsidR="00916C94" w:rsidRPr="00B60A54" w:rsidRDefault="00916C94" w:rsidP="00EC2C2E">
            <w:pPr>
              <w:jc w:val="both"/>
            </w:pPr>
            <w:r w:rsidRPr="00B60A54">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16C94" w:rsidRPr="00B60A54" w:rsidRDefault="00916C94" w:rsidP="00EC2C2E">
            <w:pPr>
              <w:jc w:val="both"/>
            </w:pPr>
            <w:r w:rsidRPr="00B60A54">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916C94" w:rsidRPr="00B60A54" w:rsidRDefault="00916C94" w:rsidP="00EC2C2E">
            <w:pPr>
              <w:jc w:val="both"/>
            </w:pPr>
            <w:r w:rsidRPr="00B60A54">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916C94" w:rsidRPr="00B60A54" w:rsidRDefault="00916C94" w:rsidP="00EC2C2E">
            <w:pPr>
              <w:jc w:val="both"/>
            </w:pPr>
            <w:r w:rsidRPr="00B60A5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w:t>
            </w:r>
            <w:bookmarkStart w:id="0" w:name="_GoBack"/>
            <w:bookmarkEnd w:id="0"/>
            <w:r w:rsidRPr="00B60A54">
              <w:t xml:space="preserve">ии указанных недоимки, задолженности и решение по данному заявлению на дату рассмотрения заявки на участие в закупке не принято; </w:t>
            </w:r>
          </w:p>
          <w:p w:rsidR="00916C94" w:rsidRPr="00B60A54" w:rsidRDefault="00916C94" w:rsidP="00EC2C2E">
            <w:pPr>
              <w:jc w:val="both"/>
            </w:pPr>
            <w:r w:rsidRPr="00B60A54">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B60A54">
              <w:rPr>
                <w:vertAlign w:val="superscript"/>
              </w:rPr>
              <w:t>1</w:t>
            </w:r>
            <w:r w:rsidRPr="00B60A54">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916C94" w:rsidRPr="00B60A54" w:rsidRDefault="00916C94" w:rsidP="00EC2C2E">
            <w:pPr>
              <w:jc w:val="both"/>
            </w:pPr>
            <w:r w:rsidRPr="00B60A54">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B60A54">
              <w:rPr>
                <w:vertAlign w:val="superscript"/>
              </w:rPr>
              <w:t xml:space="preserve">28 </w:t>
            </w:r>
            <w:r w:rsidRPr="00B60A54">
              <w:t xml:space="preserve">Кодекса Российской Федерации об административных правонарушениях; </w:t>
            </w:r>
          </w:p>
          <w:p w:rsidR="00916C94" w:rsidRPr="00B60A54" w:rsidRDefault="00916C94" w:rsidP="00EC2C2E">
            <w:pPr>
              <w:jc w:val="both"/>
            </w:pPr>
            <w:r w:rsidRPr="00B60A54">
              <w:t>7) соответствие участника закупки, указанным в извещении об осуществлении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6C94" w:rsidRPr="00B60A54" w:rsidRDefault="00916C94" w:rsidP="00EC2C2E">
            <w:pPr>
              <w:jc w:val="both"/>
            </w:pPr>
            <w:r w:rsidRPr="00B60A54">
              <w:rPr>
                <w:color w:val="00000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60A54">
              <w:t>хозяйственного общества, руководителем учреждения или унитарного предприятия либо</w:t>
            </w:r>
            <w:r>
              <w:t xml:space="preserve"> </w:t>
            </w:r>
            <w:r w:rsidRPr="00B60A54">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6C94" w:rsidRPr="00B60A54" w:rsidRDefault="00916C94" w:rsidP="00EC2C2E">
            <w:pPr>
              <w:jc w:val="both"/>
              <w:rPr>
                <w:color w:val="000000"/>
              </w:rPr>
            </w:pPr>
            <w:r w:rsidRPr="00B60A54">
              <w:t xml:space="preserve">9) отсутствие у участника закупки ограничений для участия в закупках, установленных законодательством </w:t>
            </w:r>
            <w:r w:rsidRPr="00B60A54">
              <w:rPr>
                <w:color w:val="000000"/>
              </w:rPr>
              <w:t>Российской Федерации.</w:t>
            </w:r>
          </w:p>
          <w:p w:rsidR="00916C94" w:rsidRPr="00B60A54" w:rsidRDefault="00916C94" w:rsidP="00EC2C2E">
            <w:pPr>
              <w:jc w:val="both"/>
              <w:rPr>
                <w:color w:val="000000"/>
              </w:rPr>
            </w:pPr>
            <w:r w:rsidRPr="00B60A54">
              <w:rPr>
                <w:color w:val="000000"/>
              </w:rPr>
              <w:t>10</w:t>
            </w:r>
            <w:r>
              <w:rPr>
                <w:color w:val="000000"/>
              </w:rPr>
              <w:t>)</w:t>
            </w:r>
            <w:r w:rsidRPr="00B60A54">
              <w:rPr>
                <w:color w:val="000000"/>
              </w:rPr>
              <w:t xml:space="preserve"> участник закупки не является иностранным агентом.</w:t>
            </w:r>
          </w:p>
          <w:p w:rsidR="00916C94" w:rsidRPr="00B60A54" w:rsidRDefault="00916C94" w:rsidP="00EC2C2E">
            <w:pPr>
              <w:jc w:val="both"/>
            </w:pPr>
            <w:r w:rsidRPr="00B60A54">
              <w:rPr>
                <w:color w:val="000000"/>
              </w:rPr>
              <w:t>11</w:t>
            </w:r>
            <w:r>
              <w:rPr>
                <w:color w:val="000000"/>
              </w:rPr>
              <w:t>)</w:t>
            </w:r>
            <w:r w:rsidRPr="00B60A54">
              <w:rPr>
                <w:color w:val="000000"/>
              </w:rPr>
              <w:t xml:space="preserve"> Коллективный участник закупки должен соответствовать требованиям, указанным в извещении об осуществлении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916C94" w:rsidRPr="00B60A54" w:rsidRDefault="00916C94" w:rsidP="00EC2C2E">
            <w:pPr>
              <w:jc w:val="both"/>
            </w:pPr>
            <w:r w:rsidRPr="00B60A54">
              <w:rPr>
                <w:color w:val="000000"/>
              </w:rPr>
              <w:t>12</w:t>
            </w:r>
            <w:r>
              <w:rPr>
                <w:color w:val="000000"/>
              </w:rPr>
              <w:t>)</w:t>
            </w:r>
            <w:r w:rsidRPr="00B60A54">
              <w:rPr>
                <w:color w:val="000000"/>
              </w:rPr>
              <w:t xml:space="preserve"> отсутствие сведений об участнике закупки в реестре недобросовестных поставщиков, предусмотренном Федеральным </w:t>
            </w:r>
            <w:r w:rsidRPr="00B60A54">
              <w:t>законом № 223-ФЗ;</w:t>
            </w:r>
          </w:p>
          <w:p w:rsidR="00916C94" w:rsidRPr="00B60A54" w:rsidRDefault="00916C94" w:rsidP="00EC2C2E">
            <w:pPr>
              <w:jc w:val="both"/>
            </w:pPr>
            <w:r w:rsidRPr="00B60A54">
              <w:t>13</w:t>
            </w:r>
            <w:r>
              <w:t>)</w:t>
            </w:r>
            <w:r w:rsidRPr="00B60A54">
              <w:t> отсутствие сведений об участнике закупки в реестре недобросовестных поставщиков, предусмотренном Федеральным законом № 44-ФЗ;</w:t>
            </w:r>
          </w:p>
          <w:p w:rsidR="00916C94" w:rsidRPr="00B60A54" w:rsidRDefault="00916C94" w:rsidP="00EC2C2E">
            <w:pPr>
              <w:jc w:val="both"/>
              <w:rPr>
                <w:color w:val="000000"/>
              </w:rPr>
            </w:pPr>
            <w:r w:rsidRPr="00B60A54">
              <w:t>14</w:t>
            </w:r>
            <w:r>
              <w:t>)</w:t>
            </w:r>
            <w:r w:rsidRPr="00B60A54">
              <w:t xml:space="preserve">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B60A54">
              <w:rPr>
                <w:bCs/>
                <w:color w:val="000000"/>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B60A54">
              <w:t xml:space="preserve"> и установлено лицо, представляющее интересы коллективного участника закупки (лидер коллективного участника закупки). </w:t>
            </w:r>
            <w:r w:rsidRPr="00B60A54">
              <w:rPr>
                <w:color w:val="000000"/>
              </w:rPr>
              <w:t xml:space="preserve">В случае участия в закупке коллективного участника закупки требованиям, указанным в извещении об осуществлении </w:t>
            </w:r>
            <w:r w:rsidRPr="00B60A54">
              <w:t xml:space="preserve">закупки,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w:t>
            </w:r>
            <w:r w:rsidRPr="00B60A54">
              <w:rPr>
                <w:color w:val="000000"/>
              </w:rPr>
              <w:t>закупки, за исключением случаев, установленных действующим законодательством и Положением о закупках.</w:t>
            </w:r>
          </w:p>
          <w:p w:rsidR="00916C94" w:rsidRPr="00B60A54" w:rsidRDefault="00916C94" w:rsidP="00EC2C2E">
            <w:pPr>
              <w:jc w:val="both"/>
              <w:rPr>
                <w:color w:val="000000"/>
              </w:rPr>
            </w:pPr>
          </w:p>
          <w:p w:rsidR="00916C94" w:rsidRPr="00B60A54" w:rsidRDefault="00916C94" w:rsidP="00EC2C2E">
            <w:pPr>
              <w:jc w:val="both"/>
              <w:rPr>
                <w:bCs/>
              </w:rPr>
            </w:pPr>
            <w:r w:rsidRPr="00B60A54">
              <w:rPr>
                <w:i/>
                <w:iCs/>
                <w:lang w:eastAsia="ru-RU"/>
              </w:rPr>
              <w:t>*Заявка на участие должна включать документ, декларирующий соответствие участника закупки требованиям</w:t>
            </w:r>
          </w:p>
        </w:tc>
      </w:tr>
      <w:tr w:rsidR="00916C94" w:rsidRPr="00B60A54" w:rsidTr="00EC2C2E">
        <w:trPr>
          <w:trHeight w:val="360"/>
          <w:jc w:val="center"/>
        </w:trPr>
        <w:tc>
          <w:tcPr>
            <w:tcW w:w="333" w:type="pct"/>
          </w:tcPr>
          <w:p w:rsidR="00916C94" w:rsidRPr="00486D2E" w:rsidRDefault="00916C94" w:rsidP="00EC2C2E">
            <w:pPr>
              <w:pStyle w:val="ListParagraph"/>
              <w:numPr>
                <w:ilvl w:val="0"/>
                <w:numId w:val="1"/>
              </w:numPr>
              <w:rPr>
                <w:szCs w:val="24"/>
                <w:lang w:eastAsia="en-US"/>
              </w:rPr>
            </w:pPr>
          </w:p>
        </w:tc>
        <w:tc>
          <w:tcPr>
            <w:tcW w:w="1353" w:type="pct"/>
            <w:vAlign w:val="center"/>
          </w:tcPr>
          <w:p w:rsidR="00916C94" w:rsidRPr="00B60A54" w:rsidRDefault="00916C94" w:rsidP="00EC2C2E">
            <w:pPr>
              <w:rPr>
                <w:lang w:eastAsia="ru-RU"/>
              </w:rPr>
            </w:pPr>
            <w:r w:rsidRPr="00B60A54">
              <w:rPr>
                <w:iCs/>
                <w:lang w:eastAsia="ru-RU"/>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услугв соответствии с постановлением Правительства Российской Федерации от 16 сентября </w:t>
            </w:r>
            <w:smartTag w:uri="urn:schemas-microsoft-com:office:smarttags" w:element="metricconverter">
              <w:smartTagPr>
                <w:attr w:name="ProductID" w:val="2016 г"/>
              </w:smartTagPr>
              <w:r w:rsidRPr="00B60A54">
                <w:rPr>
                  <w:iCs/>
                  <w:lang w:eastAsia="ru-RU"/>
                </w:rPr>
                <w:t>2016 г</w:t>
              </w:r>
            </w:smartTag>
            <w:r w:rsidRPr="00B60A54">
              <w:rPr>
                <w:iCs/>
                <w:lang w:eastAsia="ru-RU"/>
              </w:rPr>
              <w:t>.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314" w:type="pct"/>
            <w:vAlign w:val="center"/>
          </w:tcPr>
          <w:p w:rsidR="00916C94" w:rsidRPr="00B60A54" w:rsidRDefault="00916C94" w:rsidP="00EC2C2E">
            <w:pPr>
              <w:jc w:val="both"/>
              <w:rPr>
                <w:color w:val="000000"/>
              </w:rPr>
            </w:pPr>
            <w:r w:rsidRPr="00B60A54">
              <w:rPr>
                <w:b/>
                <w:color w:val="000000"/>
              </w:rPr>
              <w:t>Соблюдение условий предоставления приоритета</w:t>
            </w:r>
          </w:p>
          <w:p w:rsidR="00916C94" w:rsidRPr="00B60A54" w:rsidRDefault="00916C94" w:rsidP="00EC2C2E">
            <w:pPr>
              <w:jc w:val="both"/>
              <w:rPr>
                <w:color w:val="000000"/>
              </w:rPr>
            </w:pPr>
            <w:r w:rsidRPr="00B60A54">
              <w:rPr>
                <w:color w:val="000000"/>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sidRPr="00B60A54">
              <w:rPr>
                <w:lang w:eastAsia="ru-RU"/>
              </w:rPr>
              <w:t>в соответствии с</w:t>
            </w:r>
            <w:r w:rsidRPr="001534A8">
              <w:rPr>
                <w:lang w:eastAsia="ru-RU"/>
              </w:rPr>
              <w:t xml:space="preserve"> </w:t>
            </w:r>
            <w:r w:rsidRPr="00B60A54">
              <w:rPr>
                <w:lang w:eastAsia="ru-RU"/>
              </w:rPr>
              <w:t xml:space="preserve"> </w:t>
            </w:r>
            <w:r>
              <w:rPr>
                <w:lang w:eastAsia="ru-RU"/>
              </w:rPr>
              <w:t xml:space="preserve">приложением 2 </w:t>
            </w:r>
            <w:r w:rsidRPr="00B60A54">
              <w:rPr>
                <w:lang w:eastAsia="ru-RU"/>
              </w:rPr>
              <w:t xml:space="preserve">«Форма заявки на участие в закупке»; </w:t>
            </w:r>
          </w:p>
          <w:p w:rsidR="00916C94" w:rsidRPr="00B60A54" w:rsidRDefault="00916C94" w:rsidP="00EC2C2E">
            <w:pPr>
              <w:jc w:val="both"/>
              <w:rPr>
                <w:color w:val="000000"/>
              </w:rPr>
            </w:pPr>
            <w:r w:rsidRPr="00B60A54">
              <w:rPr>
                <w:color w:val="000000"/>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r w:rsidRPr="00B60A54">
              <w:rPr>
                <w:lang w:eastAsia="ru-RU"/>
              </w:rPr>
              <w:t xml:space="preserve">ответственность за предоставление недостоверных сведений о стране происхождения товара лежит на участнике закупки; </w:t>
            </w:r>
          </w:p>
          <w:p w:rsidR="00916C94" w:rsidRPr="00B60A54" w:rsidRDefault="00916C94" w:rsidP="00EC2C2E">
            <w:pPr>
              <w:jc w:val="both"/>
              <w:rPr>
                <w:color w:val="000000"/>
              </w:rPr>
            </w:pPr>
            <w:r w:rsidRPr="00B60A54">
              <w:rPr>
                <w:color w:val="000000"/>
              </w:rPr>
              <w:t>3. сведения о начальной (максимальной) цене единицы каждого товара, работы, услуги, являющихся предметом закупки: в соответствии с пунктом 6.1 части I «Общая часть»</w:t>
            </w:r>
          </w:p>
          <w:p w:rsidR="00916C94" w:rsidRPr="00B60A54" w:rsidRDefault="00916C94" w:rsidP="00EC2C2E">
            <w:pPr>
              <w:jc w:val="both"/>
              <w:rPr>
                <w:color w:val="000000"/>
              </w:rPr>
            </w:pPr>
            <w:r w:rsidRPr="00B60A54">
              <w:rPr>
                <w:color w:val="000000"/>
              </w:rPr>
              <w:t xml:space="preserve">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r w:rsidRPr="00B60A54">
              <w:rPr>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6C94" w:rsidRPr="00B60A54" w:rsidRDefault="00916C94" w:rsidP="00EC2C2E">
            <w:pPr>
              <w:jc w:val="both"/>
              <w:rPr>
                <w:color w:val="000000"/>
              </w:rPr>
            </w:pPr>
            <w:r w:rsidRPr="00B60A54">
              <w:rPr>
                <w:color w:val="00000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w:t>
            </w:r>
            <w:r>
              <w:rPr>
                <w:color w:val="000000"/>
              </w:rPr>
              <w:t xml:space="preserve"> </w:t>
            </w:r>
            <w:r w:rsidRPr="00B60A54">
              <w:rPr>
                <w:color w:val="000000"/>
              </w:rPr>
              <w:t xml:space="preserve">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r w:rsidRPr="00B60A54">
              <w:rPr>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w:t>
            </w:r>
            <w:r>
              <w:rPr>
                <w:lang w:eastAsia="en-US"/>
              </w:rPr>
              <w:t xml:space="preserve"> </w:t>
            </w:r>
            <w:r w:rsidRPr="00B60A54">
              <w:rPr>
                <w:lang w:eastAsia="en-US"/>
              </w:rPr>
              <w:t xml:space="preserve">случаях, предусмотренных подпунктами "г" и "д" пункта 6 </w:t>
            </w:r>
            <w:r w:rsidRPr="00B60A54">
              <w:rPr>
                <w:lang w:eastAsia="ru-RU"/>
              </w:rPr>
              <w:t>Постановления Правительства Российской Федерации от 16.09.2016 № 925</w:t>
            </w:r>
            <w:r w:rsidRPr="00B60A54">
              <w:rPr>
                <w:lang w:eastAsia="en-U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916C94" w:rsidRPr="00B60A54" w:rsidRDefault="00916C94" w:rsidP="00EC2C2E">
            <w:pPr>
              <w:jc w:val="both"/>
              <w:rPr>
                <w:color w:val="000000"/>
              </w:rPr>
            </w:pPr>
            <w:r w:rsidRPr="00B60A54">
              <w:rPr>
                <w:color w:val="000000"/>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r w:rsidRPr="00B60A54">
              <w:rPr>
                <w:lang w:eastAsia="en-US"/>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16C94" w:rsidRPr="00B60A54" w:rsidRDefault="00916C94" w:rsidP="00EC2C2E">
            <w:pPr>
              <w:jc w:val="both"/>
              <w:rPr>
                <w:color w:val="000000"/>
              </w:rPr>
            </w:pPr>
            <w:r w:rsidRPr="00B60A54">
              <w:rPr>
                <w:color w:val="000000"/>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в договоре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 </w:t>
            </w:r>
          </w:p>
          <w:p w:rsidR="00916C94" w:rsidRDefault="00916C94" w:rsidP="003914C6">
            <w:pPr>
              <w:jc w:val="both"/>
              <w:rPr>
                <w:lang w:eastAsia="en-US"/>
              </w:rPr>
            </w:pPr>
            <w:r w:rsidRPr="00B60A54">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Pr="00B60A54">
              <w:rPr>
                <w:lang w:eastAsia="ru-RU"/>
              </w:rPr>
              <w:t xml:space="preserve">договор заключается с участником закупки, </w:t>
            </w:r>
            <w:r w:rsidRPr="00B60A54">
              <w:rPr>
                <w:lang w:eastAsia="en-US"/>
              </w:rPr>
              <w:t>который предложил такие же, как и победитель закупки, условия исполнения договора или предложение которого содержит лучшие</w:t>
            </w:r>
            <w:r>
              <w:rPr>
                <w:lang w:eastAsia="en-US"/>
              </w:rPr>
              <w:t xml:space="preserve"> </w:t>
            </w:r>
            <w:r w:rsidRPr="00B60A54">
              <w:rPr>
                <w:lang w:eastAsia="en-US"/>
              </w:rPr>
              <w:t xml:space="preserve">условия исполнения договора, следующие после условий, предложенных победителем закупки, который признан уклонившемся от заключения договора (в случае уклонения победителя от заключения договора); </w:t>
            </w:r>
          </w:p>
          <w:p w:rsidR="00916C94" w:rsidRPr="003914C6" w:rsidRDefault="00916C94" w:rsidP="003914C6">
            <w:pPr>
              <w:jc w:val="both"/>
              <w:rPr>
                <w:color w:val="000000"/>
              </w:rPr>
            </w:pPr>
            <w:r w:rsidRPr="0075174E">
              <w:rPr>
                <w:lang w:eastAsia="en-US"/>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 исполнении договора, заключенного с участником закупки, которому предоставлен приоритет в соответствии с Постановлением </w:t>
            </w:r>
            <w:r w:rsidRPr="0075174E">
              <w:t>Правительства Российской Федерации от 16.09.2016 № 925</w:t>
            </w:r>
            <w:r w:rsidRPr="0075174E">
              <w:rPr>
                <w:lang w:eastAsia="en-U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16C94" w:rsidRPr="00B60A54" w:rsidRDefault="00916C94" w:rsidP="00EC2C2E">
            <w:pPr>
              <w:jc w:val="both"/>
              <w:rPr>
                <w:i/>
                <w:iCs/>
                <w:lang w:eastAsia="ru-RU"/>
              </w:rPr>
            </w:pPr>
          </w:p>
          <w:p w:rsidR="00916C94" w:rsidRPr="00B60A54" w:rsidRDefault="00916C94" w:rsidP="00EC2C2E">
            <w:pPr>
              <w:jc w:val="both"/>
              <w:rPr>
                <w:b/>
                <w:i/>
                <w:iCs/>
                <w:lang w:eastAsia="ru-RU"/>
              </w:rPr>
            </w:pPr>
            <w:r w:rsidRPr="00B60A54">
              <w:rPr>
                <w:b/>
                <w:i/>
                <w:iCs/>
                <w:lang w:eastAsia="ru-RU"/>
              </w:rPr>
              <w:t>Особенности предоставления приоритета</w:t>
            </w:r>
          </w:p>
          <w:p w:rsidR="00916C94" w:rsidRPr="00B60A54" w:rsidRDefault="00916C94" w:rsidP="00EC2C2E">
            <w:pPr>
              <w:pStyle w:val="a"/>
              <w:jc w:val="both"/>
              <w:rPr>
                <w:lang w:eastAsia="en-US"/>
              </w:rPr>
            </w:pPr>
            <w:r w:rsidRPr="00B60A54">
              <w:rPr>
                <w:lang w:eastAsia="en-US"/>
              </w:rPr>
              <w:t>1. В случае, если участником закупке предложены к поставке товары, производство которых осуществляется в нескольких странах, включая Российскую Федерацию (и/или приравненные к ней страны с точки зрения предоставления приоритета) и участником закупки в заявке на участие в закупке по одному товару указаны несколько стран, включая Российскую Федерацию (и/или приравненные к ней страны с точки зрения предоставления приоритета) – такой товар рассматривается как товар, происходящий из иностранного государства.</w:t>
            </w:r>
          </w:p>
          <w:p w:rsidR="00916C94" w:rsidRPr="00B60A54" w:rsidRDefault="00916C94" w:rsidP="00EC2C2E">
            <w:pPr>
              <w:pStyle w:val="a"/>
              <w:jc w:val="both"/>
              <w:rPr>
                <w:lang w:eastAsia="en-US"/>
              </w:rPr>
            </w:pPr>
            <w:r w:rsidRPr="00B60A54">
              <w:rPr>
                <w:lang w:eastAsia="en-US"/>
              </w:rPr>
              <w:t>2. В случае, если участником закупки предложены к поставке товары, производство которых осуществляется в нескольких странах, включая Российскую Федерацию (и/или приравненные к ней страны с точки зрения предоставления приоритета) и участником закупки в заявке на участие в закупке по одному товару указаны только Российская Федерация и/или приравненные к ней страны с точки зрения предоставления приоритета – такой товар рассматривается как товар российского происхождения. При этом при поставке товара Поставщик обязан предоставить документы или сведения, подтверждающие, что товар произведен в Российской Федерации и/или в приравненных к ней странах с точки зрения предоставления приоритета.</w:t>
            </w:r>
          </w:p>
          <w:p w:rsidR="00916C94" w:rsidRPr="00B60A54" w:rsidRDefault="00916C94" w:rsidP="00EC2C2E">
            <w:pPr>
              <w:jc w:val="both"/>
              <w:rPr>
                <w:i/>
                <w:iCs/>
                <w:lang w:eastAsia="ru-RU"/>
              </w:rPr>
            </w:pPr>
            <w:r w:rsidRPr="00B60A54">
              <w:rPr>
                <w:lang w:eastAsia="en-US"/>
              </w:rPr>
              <w:t>3. В случае если в заявке участника закупки невозможно определить количество предложенного к поставке товара российского происхождения и количество предложенного к поставке товара иностранного происхождения – весь такой товар рассматривается как товар иностранного происхождения.</w:t>
            </w:r>
          </w:p>
        </w:tc>
      </w:tr>
      <w:tr w:rsidR="00916C94" w:rsidRPr="00B60A54" w:rsidTr="00EC2C2E">
        <w:trPr>
          <w:jc w:val="center"/>
        </w:trPr>
        <w:tc>
          <w:tcPr>
            <w:tcW w:w="333" w:type="pct"/>
            <w:vMerge w:val="restart"/>
          </w:tcPr>
          <w:p w:rsidR="00916C94" w:rsidRPr="00486D2E" w:rsidRDefault="00916C94" w:rsidP="00EC2C2E">
            <w:pPr>
              <w:pStyle w:val="ListParagraph"/>
              <w:numPr>
                <w:ilvl w:val="0"/>
                <w:numId w:val="1"/>
              </w:numPr>
              <w:ind w:left="0" w:firstLine="0"/>
              <w:rPr>
                <w:szCs w:val="24"/>
                <w:lang w:eastAsia="en-US"/>
              </w:rPr>
            </w:pPr>
          </w:p>
        </w:tc>
        <w:tc>
          <w:tcPr>
            <w:tcW w:w="4667" w:type="pct"/>
            <w:gridSpan w:val="2"/>
          </w:tcPr>
          <w:p w:rsidR="00916C94" w:rsidRPr="00B60A54" w:rsidRDefault="00916C94" w:rsidP="00EC2C2E">
            <w:pPr>
              <w:pageBreakBefore/>
              <w:jc w:val="both"/>
              <w:rPr>
                <w:b/>
                <w:color w:val="000000"/>
              </w:rPr>
            </w:pPr>
            <w:r w:rsidRPr="00B60A54">
              <w:rPr>
                <w:b/>
              </w:rPr>
              <w:t>Срок подачи предложений на участие в закупке</w:t>
            </w:r>
          </w:p>
        </w:tc>
      </w:tr>
      <w:tr w:rsidR="00916C94" w:rsidRPr="00B60A54" w:rsidTr="00EC2C2E">
        <w:trPr>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r w:rsidRPr="00B60A54">
              <w:t>Дата начала подачи предложений</w:t>
            </w:r>
          </w:p>
        </w:tc>
        <w:tc>
          <w:tcPr>
            <w:tcW w:w="3314" w:type="pct"/>
          </w:tcPr>
          <w:p w:rsidR="00916C94" w:rsidRPr="00B60A54" w:rsidRDefault="00916C94" w:rsidP="00EC2C2E">
            <w:pPr>
              <w:jc w:val="both"/>
            </w:pPr>
            <w:r w:rsidRPr="00B60A54">
              <w:rPr>
                <w:color w:val="000000"/>
                <w:lang w:eastAsia="ru-RU"/>
              </w:rPr>
              <w:t>С момента публикации извещения</w:t>
            </w:r>
          </w:p>
        </w:tc>
      </w:tr>
      <w:tr w:rsidR="00916C94" w:rsidRPr="00B60A54" w:rsidTr="00EC2C2E">
        <w:trPr>
          <w:jc w:val="center"/>
        </w:trPr>
        <w:tc>
          <w:tcPr>
            <w:tcW w:w="333" w:type="pct"/>
            <w:vMerge/>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r w:rsidRPr="00B60A54">
              <w:t>Дата и время окончания срока подачи заявок</w:t>
            </w:r>
          </w:p>
        </w:tc>
        <w:tc>
          <w:tcPr>
            <w:tcW w:w="3314" w:type="pct"/>
            <w:vAlign w:val="center"/>
          </w:tcPr>
          <w:p w:rsidR="00916C94" w:rsidRPr="00B60A54" w:rsidRDefault="00916C94" w:rsidP="00C056DA">
            <w:r>
              <w:t>22</w:t>
            </w:r>
            <w:r w:rsidRPr="00B60A54">
              <w:t xml:space="preserve"> </w:t>
            </w:r>
            <w:r>
              <w:t>сентября</w:t>
            </w:r>
            <w:r w:rsidRPr="00B60A54">
              <w:t xml:space="preserve"> </w:t>
            </w:r>
            <w:smartTag w:uri="urn:schemas-microsoft-com:office:smarttags" w:element="metricconverter">
              <w:smartTagPr>
                <w:attr w:name="ProductID" w:val="2023 г"/>
              </w:smartTagPr>
              <w:r w:rsidRPr="00B60A54">
                <w:t>2023</w:t>
              </w:r>
              <w:r>
                <w:t xml:space="preserve"> </w:t>
              </w:r>
              <w:r w:rsidRPr="00B60A54">
                <w:t>г</w:t>
              </w:r>
            </w:smartTag>
            <w:r w:rsidRPr="00B60A54">
              <w:t xml:space="preserve">. </w:t>
            </w:r>
            <w:r>
              <w:t>10</w:t>
            </w:r>
            <w:r w:rsidRPr="00B60A54">
              <w:t xml:space="preserve"> часов 00 минут (по местному времени Заказчика)</w:t>
            </w:r>
          </w:p>
        </w:tc>
      </w:tr>
      <w:tr w:rsidR="00916C94" w:rsidRPr="00B60A54" w:rsidTr="00EC2C2E">
        <w:trPr>
          <w:jc w:val="center"/>
        </w:trPr>
        <w:tc>
          <w:tcPr>
            <w:tcW w:w="333" w:type="pct"/>
          </w:tcPr>
          <w:p w:rsidR="00916C94" w:rsidRPr="00486D2E" w:rsidRDefault="00916C94" w:rsidP="00EC2C2E">
            <w:pPr>
              <w:pStyle w:val="ListParagraph"/>
              <w:numPr>
                <w:ilvl w:val="0"/>
                <w:numId w:val="1"/>
              </w:numPr>
              <w:rPr>
                <w:szCs w:val="24"/>
                <w:lang w:eastAsia="en-US"/>
              </w:rPr>
            </w:pPr>
          </w:p>
        </w:tc>
        <w:tc>
          <w:tcPr>
            <w:tcW w:w="1353" w:type="pct"/>
          </w:tcPr>
          <w:p w:rsidR="00916C94" w:rsidRPr="00B60A54" w:rsidRDefault="00916C94" w:rsidP="00EC2C2E">
            <w:pPr>
              <w:pStyle w:val="a"/>
              <w:jc w:val="both"/>
              <w:rPr>
                <w:b/>
              </w:rPr>
            </w:pPr>
            <w:r w:rsidRPr="00B60A54">
              <w:rPr>
                <w:b/>
              </w:rPr>
              <w:t>Адрес электронной площадки в информационно-телекоммуникационной сети «Интернет»</w:t>
            </w:r>
          </w:p>
        </w:tc>
        <w:tc>
          <w:tcPr>
            <w:tcW w:w="3314" w:type="pct"/>
          </w:tcPr>
          <w:p w:rsidR="00916C94" w:rsidRPr="00B60A54" w:rsidRDefault="00916C94" w:rsidP="00EC2C2E">
            <w:pPr>
              <w:pStyle w:val="a"/>
              <w:jc w:val="both"/>
              <w:rPr>
                <w:b/>
                <w:i/>
              </w:rPr>
            </w:pPr>
            <w:r w:rsidRPr="00B60A54">
              <w:rPr>
                <w:b/>
                <w:i/>
              </w:rPr>
              <w:t>Заявка на участие в закупке направляется участником закупки в соответствии с регламентом подсистемы «Малые закупки», в форме электронного документа, по адресу https://torgi.egov66.ru/smallpurchases/Menu/Page/1</w:t>
            </w:r>
          </w:p>
        </w:tc>
      </w:tr>
      <w:tr w:rsidR="00916C94" w:rsidRPr="00B60A54" w:rsidTr="00EC2C2E">
        <w:trPr>
          <w:jc w:val="center"/>
        </w:trPr>
        <w:tc>
          <w:tcPr>
            <w:tcW w:w="333" w:type="pct"/>
          </w:tcPr>
          <w:p w:rsidR="00916C94" w:rsidRPr="00486D2E" w:rsidRDefault="00916C94" w:rsidP="00EC2C2E">
            <w:pPr>
              <w:pStyle w:val="ListParagraph"/>
              <w:numPr>
                <w:ilvl w:val="0"/>
                <w:numId w:val="1"/>
              </w:numPr>
              <w:ind w:left="0" w:firstLine="0"/>
              <w:rPr>
                <w:szCs w:val="24"/>
                <w:lang w:eastAsia="en-US"/>
              </w:rPr>
            </w:pPr>
          </w:p>
        </w:tc>
        <w:tc>
          <w:tcPr>
            <w:tcW w:w="1353" w:type="pct"/>
          </w:tcPr>
          <w:p w:rsidR="00916C94" w:rsidRPr="00B60A54" w:rsidRDefault="00916C94" w:rsidP="00EC2C2E">
            <w:pPr>
              <w:rPr>
                <w:b/>
              </w:rPr>
            </w:pPr>
            <w:r w:rsidRPr="00B60A54">
              <w:rPr>
                <w:b/>
              </w:rPr>
              <w:t>Порядок подачи заявок</w:t>
            </w:r>
          </w:p>
        </w:tc>
        <w:tc>
          <w:tcPr>
            <w:tcW w:w="3314" w:type="pct"/>
          </w:tcPr>
          <w:p w:rsidR="00916C94" w:rsidRPr="00B60A54" w:rsidRDefault="00916C94" w:rsidP="00EC2C2E">
            <w:pPr>
              <w:pStyle w:val="a"/>
              <w:jc w:val="both"/>
              <w:rPr>
                <w:lang w:eastAsia="ru-RU"/>
              </w:rPr>
            </w:pPr>
            <w:r w:rsidRPr="00B60A54">
              <w:rPr>
                <w:lang w:eastAsia="ru-RU"/>
              </w:rPr>
              <w:t xml:space="preserve">Заявка на участие в закупке подается по форме, установленной в </w:t>
            </w:r>
            <w:r>
              <w:rPr>
                <w:lang w:eastAsia="ru-RU"/>
              </w:rPr>
              <w:t>приложении  2 извещения</w:t>
            </w:r>
            <w:r w:rsidRPr="00B60A54">
              <w:rPr>
                <w:lang w:eastAsia="ru-RU"/>
              </w:rPr>
              <w:t xml:space="preserve"> о закупке «Форма заявки на участие в закупке».</w:t>
            </w:r>
          </w:p>
          <w:p w:rsidR="00916C94" w:rsidRPr="00B60A54" w:rsidRDefault="00916C94" w:rsidP="00EC2C2E">
            <w:pPr>
              <w:pStyle w:val="a"/>
              <w:jc w:val="both"/>
              <w:rPr>
                <w:lang w:eastAsia="ru-RU"/>
              </w:rPr>
            </w:pPr>
            <w:r w:rsidRPr="00B60A54">
              <w:rPr>
                <w:lang w:eastAsia="ru-RU"/>
              </w:rPr>
              <w:t xml:space="preserve">Заявка на участие в закупке подается с использованием функционала и в соответствии с регламентом подсистемы «Малые закупки Свердловской области», адрес которой указан в пункте 9 части </w:t>
            </w:r>
            <w:r w:rsidRPr="00B60A54">
              <w:rPr>
                <w:lang w:val="en-US" w:eastAsia="ru-RU"/>
              </w:rPr>
              <w:t>I</w:t>
            </w:r>
            <w:r w:rsidRPr="00B60A54">
              <w:rPr>
                <w:lang w:eastAsia="ru-RU"/>
              </w:rPr>
              <w:t xml:space="preserve"> сведений о закупке.</w:t>
            </w:r>
          </w:p>
          <w:p w:rsidR="00916C94" w:rsidRPr="00B60A54" w:rsidRDefault="00916C94" w:rsidP="00EC2C2E">
            <w:r w:rsidRPr="00B60A54">
              <w:rPr>
                <w:lang w:eastAsia="ru-RU"/>
              </w:rPr>
              <w:t>Заявка на участие в закупке оформляется в электронной форме с приложением комплекта электронных документов, содержание и оформление которых должно соответствовать требованиям закупки.</w:t>
            </w:r>
          </w:p>
        </w:tc>
      </w:tr>
      <w:tr w:rsidR="00916C94" w:rsidRPr="00B60A54" w:rsidTr="00EC2C2E">
        <w:trPr>
          <w:jc w:val="center"/>
        </w:trPr>
        <w:tc>
          <w:tcPr>
            <w:tcW w:w="333" w:type="pct"/>
          </w:tcPr>
          <w:p w:rsidR="00916C94" w:rsidRPr="00486D2E" w:rsidRDefault="00916C94" w:rsidP="00EC2C2E">
            <w:pPr>
              <w:pStyle w:val="ListParagraph"/>
              <w:numPr>
                <w:ilvl w:val="0"/>
                <w:numId w:val="1"/>
              </w:numPr>
              <w:ind w:left="0" w:firstLine="0"/>
              <w:rPr>
                <w:szCs w:val="24"/>
                <w:lang w:eastAsia="en-US"/>
              </w:rPr>
            </w:pPr>
          </w:p>
        </w:tc>
        <w:tc>
          <w:tcPr>
            <w:tcW w:w="1353" w:type="pct"/>
          </w:tcPr>
          <w:p w:rsidR="00916C94" w:rsidRPr="00B60A54" w:rsidRDefault="00916C94" w:rsidP="00EC2C2E">
            <w:pPr>
              <w:rPr>
                <w:b/>
              </w:rPr>
            </w:pPr>
            <w:r w:rsidRPr="00B60A54">
              <w:rPr>
                <w:b/>
              </w:rPr>
              <w:t>Порядок подведения итогов неконкурентной закупки</w:t>
            </w:r>
          </w:p>
        </w:tc>
        <w:tc>
          <w:tcPr>
            <w:tcW w:w="3314" w:type="pct"/>
          </w:tcPr>
          <w:p w:rsidR="00916C94" w:rsidRPr="00B60A54" w:rsidRDefault="00916C94" w:rsidP="00EC2C2E">
            <w:pPr>
              <w:widowControl w:val="0"/>
              <w:autoSpaceDE w:val="0"/>
              <w:jc w:val="both"/>
              <w:rPr>
                <w:color w:val="000000"/>
                <w:lang w:eastAsia="ru-RU"/>
              </w:rPr>
            </w:pPr>
            <w:r w:rsidRPr="00B60A54">
              <w:rPr>
                <w:bCs/>
                <w:color w:val="000000"/>
                <w:lang w:eastAsia="ru-RU"/>
              </w:rPr>
              <w:t> Заказчик и (или) комиссия по осуществлению неконкурентной</w:t>
            </w:r>
            <w:r w:rsidRPr="00B60A54">
              <w:rPr>
                <w:color w:val="000000"/>
              </w:rPr>
              <w:t xml:space="preserve"> закупки</w:t>
            </w:r>
            <w:r w:rsidRPr="00B60A54">
              <w:rPr>
                <w:color w:val="000000"/>
                <w:lang w:eastAsia="ru-RU"/>
              </w:rPr>
              <w:t xml:space="preserve">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916C94" w:rsidRPr="00B60A54" w:rsidRDefault="00916C94" w:rsidP="00142BAE">
            <w:pPr>
              <w:pStyle w:val="a"/>
              <w:jc w:val="both"/>
              <w:rPr>
                <w:color w:val="000000"/>
              </w:rPr>
            </w:pPr>
            <w:r w:rsidRPr="00B60A54">
              <w:rPr>
                <w:b/>
                <w:color w:val="000000"/>
              </w:rPr>
              <w:t>Заказчик осуществляет подведение итогов закупки в срок не позднее двух рабочих дней с даты окончания срока подачи заявок</w:t>
            </w:r>
            <w:r w:rsidRPr="00B60A54">
              <w:rPr>
                <w:color w:val="000000"/>
              </w:rPr>
              <w:t xml:space="preserve">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916C94" w:rsidRPr="00B60A54" w:rsidRDefault="00916C94" w:rsidP="00142BAE">
            <w:pPr>
              <w:jc w:val="both"/>
            </w:pPr>
            <w:r w:rsidRPr="00B60A54">
              <w:rPr>
                <w:lang w:eastAsia="ru-RU"/>
              </w:rPr>
              <w:t>Победителем закупки признается участник, заявка которого соответствует требованиям сведений о закупке, и содержит минимальное предложение о цене договора.</w:t>
            </w:r>
          </w:p>
        </w:tc>
      </w:tr>
      <w:tr w:rsidR="00916C94" w:rsidRPr="00B60A54" w:rsidTr="00EC2C2E">
        <w:trPr>
          <w:jc w:val="center"/>
        </w:trPr>
        <w:tc>
          <w:tcPr>
            <w:tcW w:w="333" w:type="pct"/>
          </w:tcPr>
          <w:p w:rsidR="00916C94" w:rsidRPr="00486D2E" w:rsidRDefault="00916C94" w:rsidP="00EC2C2E">
            <w:pPr>
              <w:pStyle w:val="ListParagraph"/>
              <w:numPr>
                <w:ilvl w:val="0"/>
                <w:numId w:val="1"/>
              </w:numPr>
              <w:ind w:left="0" w:firstLine="0"/>
              <w:rPr>
                <w:szCs w:val="24"/>
                <w:lang w:eastAsia="en-US"/>
              </w:rPr>
            </w:pPr>
          </w:p>
        </w:tc>
        <w:tc>
          <w:tcPr>
            <w:tcW w:w="1353" w:type="pct"/>
          </w:tcPr>
          <w:p w:rsidR="00916C94" w:rsidRPr="00B60A54" w:rsidRDefault="00916C94" w:rsidP="00EC2C2E">
            <w:pPr>
              <w:rPr>
                <w:b/>
              </w:rPr>
            </w:pPr>
            <w:r w:rsidRPr="00B60A54">
              <w:rPr>
                <w:b/>
              </w:rPr>
              <w:t>Основания отклонения заявок на участие в закупке</w:t>
            </w:r>
          </w:p>
        </w:tc>
        <w:tc>
          <w:tcPr>
            <w:tcW w:w="3314" w:type="pct"/>
          </w:tcPr>
          <w:p w:rsidR="00916C94" w:rsidRPr="00B60A54" w:rsidRDefault="00916C94" w:rsidP="00EC2C2E">
            <w:pPr>
              <w:widowControl w:val="0"/>
              <w:autoSpaceDE w:val="0"/>
              <w:jc w:val="both"/>
              <w:rPr>
                <w:color w:val="000000"/>
              </w:rPr>
            </w:pPr>
            <w:r w:rsidRPr="00B60A54">
              <w:rPr>
                <w:color w:val="000000"/>
              </w:rPr>
              <w:t>Участник закупки, подавший заявку на участие в неконкурентной закупке с использованием подсистемы «Малые закупки» отклоняется заказчиком и (или) комиссией по осуществлению неконкурентной закупки в следующих случаях:</w:t>
            </w:r>
          </w:p>
          <w:p w:rsidR="00916C94" w:rsidRPr="00B60A54" w:rsidRDefault="00916C94" w:rsidP="00EC2C2E">
            <w:pPr>
              <w:widowControl w:val="0"/>
              <w:autoSpaceDE w:val="0"/>
              <w:jc w:val="both"/>
              <w:rPr>
                <w:color w:val="000000"/>
              </w:rPr>
            </w:pPr>
            <w:r w:rsidRPr="00B60A54">
              <w:rPr>
                <w:color w:val="000000"/>
              </w:rPr>
              <w:t>1) непредоставление информации и(или) документов, предусмотренных в сведениях о закупке;</w:t>
            </w:r>
          </w:p>
          <w:p w:rsidR="00916C94" w:rsidRPr="00B60A54" w:rsidRDefault="00916C94" w:rsidP="00EC2C2E">
            <w:pPr>
              <w:widowControl w:val="0"/>
              <w:autoSpaceDE w:val="0"/>
              <w:jc w:val="both"/>
              <w:rPr>
                <w:color w:val="000000"/>
              </w:rPr>
            </w:pPr>
            <w:r w:rsidRPr="00B60A54">
              <w:rPr>
                <w:color w:val="000000"/>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rsidR="00916C94" w:rsidRPr="00B60A54" w:rsidRDefault="00916C94" w:rsidP="00EC2C2E">
            <w:pPr>
              <w:widowControl w:val="0"/>
              <w:autoSpaceDE w:val="0"/>
              <w:jc w:val="both"/>
              <w:rPr>
                <w:color w:val="000000"/>
              </w:rPr>
            </w:pPr>
            <w:r w:rsidRPr="00B60A54">
              <w:rPr>
                <w:color w:val="000000"/>
              </w:rPr>
              <w:t>3) предоставление недостоверных сведений в отношении своего соответствия требованиям, предусмотренным в сведениях о закупке;</w:t>
            </w:r>
          </w:p>
          <w:p w:rsidR="00916C94" w:rsidRPr="00B60A54" w:rsidRDefault="00916C94" w:rsidP="00EC2C2E">
            <w:pPr>
              <w:widowControl w:val="0"/>
              <w:autoSpaceDE w:val="0"/>
              <w:jc w:val="both"/>
              <w:rPr>
                <w:color w:val="000000"/>
              </w:rPr>
            </w:pPr>
            <w:r w:rsidRPr="00B60A54">
              <w:rPr>
                <w:color w:val="000000"/>
              </w:rPr>
              <w:t>4) несоответствие участника закупки требованиям, установленным в сведениях о закупке (при их установлении заказчиком);</w:t>
            </w:r>
          </w:p>
          <w:p w:rsidR="00916C94" w:rsidRPr="00B60A54" w:rsidRDefault="00916C94" w:rsidP="00EC2C2E">
            <w:pPr>
              <w:widowControl w:val="0"/>
              <w:autoSpaceDE w:val="0"/>
              <w:jc w:val="both"/>
              <w:rPr>
                <w:bCs/>
                <w:color w:val="000000"/>
                <w:lang w:eastAsia="ru-RU"/>
              </w:rPr>
            </w:pPr>
            <w:r w:rsidRPr="00B60A54">
              <w:rPr>
                <w:color w:val="000000"/>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в сведениях о закупке.</w:t>
            </w:r>
          </w:p>
        </w:tc>
      </w:tr>
      <w:tr w:rsidR="00916C94" w:rsidRPr="00B60A54" w:rsidTr="00EC2C2E">
        <w:trPr>
          <w:jc w:val="center"/>
        </w:trPr>
        <w:tc>
          <w:tcPr>
            <w:tcW w:w="333" w:type="pct"/>
          </w:tcPr>
          <w:p w:rsidR="00916C94" w:rsidRPr="00486D2E" w:rsidRDefault="00916C94" w:rsidP="00EC2C2E">
            <w:pPr>
              <w:pStyle w:val="ListParagraph"/>
              <w:numPr>
                <w:ilvl w:val="0"/>
                <w:numId w:val="1"/>
              </w:numPr>
              <w:ind w:left="0" w:firstLine="0"/>
              <w:rPr>
                <w:szCs w:val="24"/>
                <w:lang w:eastAsia="en-US"/>
              </w:rPr>
            </w:pPr>
          </w:p>
        </w:tc>
        <w:tc>
          <w:tcPr>
            <w:tcW w:w="1353" w:type="pct"/>
          </w:tcPr>
          <w:p w:rsidR="00916C94" w:rsidRPr="00B60A54" w:rsidRDefault="00916C94" w:rsidP="00EC2C2E">
            <w:pPr>
              <w:rPr>
                <w:b/>
              </w:rPr>
            </w:pPr>
            <w:r w:rsidRPr="00B60A54">
              <w:rPr>
                <w:b/>
              </w:rPr>
              <w:t>Порядок подписания договора по результатам неконкурентной закупки</w:t>
            </w:r>
          </w:p>
        </w:tc>
        <w:tc>
          <w:tcPr>
            <w:tcW w:w="3314" w:type="pct"/>
          </w:tcPr>
          <w:p w:rsidR="00916C94" w:rsidRPr="00B60A54" w:rsidRDefault="00916C94" w:rsidP="00EC2C2E">
            <w:pPr>
              <w:jc w:val="both"/>
            </w:pPr>
            <w:r w:rsidRPr="00B60A54">
              <w:t xml:space="preserve">1. </w:t>
            </w:r>
            <w:r w:rsidRPr="004F1373">
              <w:rPr>
                <w:b/>
              </w:rPr>
              <w:t>Заказчик в течение двух рабочих дней с даты размещения протокола, составленного по итогам закупки, направляет победителю закупки,</w:t>
            </w:r>
            <w:r w:rsidRPr="00B60A54">
              <w:t xml:space="preserve"> с которым заключается договор, с использованием программно-аппаратных средств подсистемы «Малые закупки» проект договора без своей подписи.</w:t>
            </w:r>
          </w:p>
          <w:p w:rsidR="00916C94" w:rsidRPr="00B60A54" w:rsidRDefault="00916C94" w:rsidP="00EC2C2E">
            <w:pPr>
              <w:pStyle w:val="a"/>
              <w:jc w:val="both"/>
            </w:pPr>
            <w:r w:rsidRPr="00B60A54">
              <w:t>2. Победитель закупки в течение одного рабочего дня с даты получения проекта договора от заказчика, подписывает проект договора с использованием программно-аппаратных средств подсистемы «Малые закупки».</w:t>
            </w:r>
          </w:p>
          <w:p w:rsidR="00916C94" w:rsidRPr="00B60A54" w:rsidRDefault="00916C94" w:rsidP="00EC2C2E">
            <w:pPr>
              <w:pStyle w:val="a"/>
              <w:jc w:val="both"/>
            </w:pPr>
            <w:r w:rsidRPr="00B60A54">
              <w:t>3. Если победитель закупки,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одного рабочего дня с даты получения проекта договора.</w:t>
            </w:r>
          </w:p>
          <w:p w:rsidR="00916C94" w:rsidRPr="00B60A54" w:rsidRDefault="00916C94" w:rsidP="00EC2C2E">
            <w:pPr>
              <w:pStyle w:val="a"/>
              <w:jc w:val="both"/>
              <w:rPr>
                <w:i/>
              </w:rPr>
            </w:pPr>
            <w:r w:rsidRPr="00B60A54">
              <w:rPr>
                <w:i/>
              </w:rPr>
              <w:t>Примечание: протокол разногласий может быть направлен участником закупки один раз. Направление второго протокола разногласий и/или повторное направление первого протокола разногласий не допускается. В случае направления второго протокола разногласий и/или повторного направления первого протокола разногласий участник закупки, с которым заключается договор, может быть признан уклонившимся от заключения договора</w:t>
            </w:r>
          </w:p>
          <w:p w:rsidR="00916C94" w:rsidRPr="00B60A54" w:rsidRDefault="00916C94" w:rsidP="00EC2C2E">
            <w:pPr>
              <w:jc w:val="both"/>
            </w:pPr>
            <w:r w:rsidRPr="00B60A54">
              <w:t>4.</w:t>
            </w:r>
            <w:r>
              <w:t xml:space="preserve"> </w:t>
            </w:r>
            <w:r w:rsidRPr="00B60A54">
              <w:t>В течение двух рабочих дней с даты получения проекта договора, подписанного победителем закупки, заказчик подписывает договор от имени заказчика.</w:t>
            </w:r>
          </w:p>
          <w:p w:rsidR="00916C94" w:rsidRPr="00B60A54" w:rsidRDefault="00916C94" w:rsidP="00EC2C2E">
            <w:pPr>
              <w:pStyle w:val="a"/>
              <w:jc w:val="both"/>
              <w:rPr>
                <w:lang w:eastAsia="ru-RU"/>
              </w:rPr>
            </w:pPr>
            <w:r w:rsidRPr="00B60A54">
              <w:rPr>
                <w:bCs/>
                <w:lang w:eastAsia="ru-RU"/>
              </w:rPr>
              <w:t xml:space="preserve">5. Договор по результатам </w:t>
            </w:r>
            <w:r w:rsidRPr="00B60A54">
              <w:rPr>
                <w:bCs/>
                <w:color w:val="000000"/>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tc>
      </w:tr>
    </w:tbl>
    <w:p w:rsidR="00916C94" w:rsidRDefault="00916C94" w:rsidP="00C056DA">
      <w:pPr>
        <w:pStyle w:val="Heading1"/>
        <w:widowControl w:val="0"/>
        <w:tabs>
          <w:tab w:val="right" w:pos="-4680"/>
        </w:tabs>
        <w:spacing w:before="0" w:after="0"/>
        <w:ind w:left="0" w:firstLine="0"/>
        <w:rPr>
          <w:rFonts w:ascii="Times New Roman" w:hAnsi="Times New Roman"/>
          <w:b w:val="0"/>
          <w:sz w:val="24"/>
          <w:szCs w:val="24"/>
        </w:rPr>
      </w:pPr>
    </w:p>
    <w:p w:rsidR="00916C94" w:rsidRPr="00B60A54" w:rsidRDefault="00916C94" w:rsidP="00C056DA">
      <w:pPr>
        <w:pStyle w:val="Heading1"/>
        <w:widowControl w:val="0"/>
        <w:tabs>
          <w:tab w:val="right" w:pos="-4680"/>
        </w:tabs>
        <w:spacing w:before="0" w:after="0"/>
        <w:ind w:left="0" w:firstLine="0"/>
        <w:rPr>
          <w:rFonts w:ascii="Times New Roman" w:hAnsi="Times New Roman"/>
          <w:b w:val="0"/>
          <w:sz w:val="24"/>
          <w:szCs w:val="24"/>
        </w:rPr>
      </w:pPr>
      <w:r w:rsidRPr="00B60A54">
        <w:rPr>
          <w:rFonts w:ascii="Times New Roman" w:hAnsi="Times New Roman"/>
          <w:b w:val="0"/>
          <w:sz w:val="24"/>
          <w:szCs w:val="24"/>
        </w:rPr>
        <w:t>Неотъемлемой частью извещения и аукционной документации являются следующие приложения:</w:t>
      </w:r>
    </w:p>
    <w:p w:rsidR="00916C94" w:rsidRPr="00B60A54" w:rsidRDefault="00916C94" w:rsidP="00C056DA">
      <w:pPr>
        <w:pStyle w:val="Heading1"/>
        <w:widowControl w:val="0"/>
        <w:tabs>
          <w:tab w:val="right" w:pos="-4680"/>
        </w:tabs>
        <w:spacing w:before="0" w:after="0"/>
        <w:ind w:left="0" w:firstLine="0"/>
        <w:rPr>
          <w:rFonts w:ascii="Times New Roman" w:hAnsi="Times New Roman"/>
          <w:b w:val="0"/>
          <w:sz w:val="24"/>
          <w:szCs w:val="24"/>
        </w:rPr>
      </w:pPr>
      <w:r w:rsidRPr="00B60A54">
        <w:rPr>
          <w:rFonts w:ascii="Times New Roman" w:hAnsi="Times New Roman"/>
          <w:b w:val="0"/>
          <w:sz w:val="24"/>
          <w:szCs w:val="24"/>
        </w:rPr>
        <w:t>1. Приложение №1 «Спецификация»;</w:t>
      </w:r>
    </w:p>
    <w:p w:rsidR="00916C94" w:rsidRPr="00B60A54" w:rsidRDefault="00916C94" w:rsidP="00C056DA">
      <w:pPr>
        <w:pStyle w:val="Heading1"/>
        <w:widowControl w:val="0"/>
        <w:tabs>
          <w:tab w:val="right" w:pos="-4680"/>
        </w:tabs>
        <w:spacing w:before="0" w:after="0"/>
        <w:ind w:left="0" w:firstLine="0"/>
        <w:rPr>
          <w:rFonts w:ascii="Times New Roman" w:hAnsi="Times New Roman"/>
          <w:b w:val="0"/>
          <w:sz w:val="24"/>
          <w:szCs w:val="24"/>
        </w:rPr>
      </w:pPr>
      <w:r w:rsidRPr="00B60A54">
        <w:rPr>
          <w:rFonts w:ascii="Times New Roman" w:hAnsi="Times New Roman"/>
          <w:b w:val="0"/>
          <w:sz w:val="24"/>
          <w:szCs w:val="24"/>
        </w:rPr>
        <w:t>2. Приложение №2 «</w:t>
      </w:r>
      <w:r>
        <w:rPr>
          <w:rFonts w:ascii="Times New Roman" w:hAnsi="Times New Roman"/>
          <w:b w:val="0"/>
          <w:sz w:val="24"/>
          <w:szCs w:val="24"/>
        </w:rPr>
        <w:t>Форма з</w:t>
      </w:r>
      <w:r w:rsidRPr="00B60A54">
        <w:rPr>
          <w:rFonts w:ascii="Times New Roman" w:hAnsi="Times New Roman"/>
          <w:b w:val="0"/>
          <w:sz w:val="24"/>
          <w:szCs w:val="24"/>
        </w:rPr>
        <w:t>аявк</w:t>
      </w:r>
      <w:r>
        <w:rPr>
          <w:rFonts w:ascii="Times New Roman" w:hAnsi="Times New Roman"/>
          <w:b w:val="0"/>
          <w:sz w:val="24"/>
          <w:szCs w:val="24"/>
        </w:rPr>
        <w:t>и</w:t>
      </w:r>
      <w:r w:rsidRPr="00B60A54">
        <w:rPr>
          <w:rFonts w:ascii="Times New Roman" w:hAnsi="Times New Roman"/>
          <w:b w:val="0"/>
          <w:sz w:val="24"/>
          <w:szCs w:val="24"/>
        </w:rPr>
        <w:t>»;</w:t>
      </w:r>
    </w:p>
    <w:p w:rsidR="00916C94" w:rsidRPr="00B60A54" w:rsidRDefault="00916C94" w:rsidP="00C056DA">
      <w:pPr>
        <w:pStyle w:val="Heading1"/>
        <w:widowControl w:val="0"/>
        <w:tabs>
          <w:tab w:val="right" w:pos="-4680"/>
        </w:tabs>
        <w:spacing w:before="0" w:after="0"/>
        <w:ind w:left="0" w:firstLine="0"/>
        <w:rPr>
          <w:rFonts w:ascii="Times New Roman" w:hAnsi="Times New Roman"/>
          <w:b w:val="0"/>
          <w:sz w:val="24"/>
          <w:szCs w:val="24"/>
        </w:rPr>
      </w:pPr>
      <w:r w:rsidRPr="00B60A54">
        <w:rPr>
          <w:rFonts w:ascii="Times New Roman" w:hAnsi="Times New Roman"/>
          <w:b w:val="0"/>
          <w:sz w:val="24"/>
          <w:szCs w:val="24"/>
        </w:rPr>
        <w:t>3. Приложение №3 «Проект договора»</w:t>
      </w:r>
    </w:p>
    <w:p w:rsidR="00916C94" w:rsidRPr="00B60A54" w:rsidRDefault="00916C94" w:rsidP="00C056DA">
      <w:pPr>
        <w:jc w:val="right"/>
      </w:pPr>
    </w:p>
    <w:p w:rsidR="00916C94" w:rsidRDefault="00916C94" w:rsidP="00EB790D">
      <w:pPr>
        <w:jc w:val="right"/>
        <w:rPr>
          <w:lang w:eastAsia="ru-RU"/>
        </w:rPr>
      </w:pPr>
      <w:r w:rsidRPr="00B60A54">
        <w:rPr>
          <w:lang w:eastAsia="ru-RU"/>
        </w:rPr>
        <w:t xml:space="preserve"> </w:t>
      </w:r>
    </w:p>
    <w:sectPr w:rsidR="00916C94" w:rsidSect="00EB790D">
      <w:footerReference w:type="default" r:id="rId7"/>
      <w:pgSz w:w="11906" w:h="16838"/>
      <w:pgMar w:top="540" w:right="709" w:bottom="425"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94" w:rsidRDefault="00916C94" w:rsidP="00DA6FD5">
      <w:r>
        <w:separator/>
      </w:r>
    </w:p>
  </w:endnote>
  <w:endnote w:type="continuationSeparator" w:id="0">
    <w:p w:rsidR="00916C94" w:rsidRDefault="00916C94" w:rsidP="00DA6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94" w:rsidRDefault="00916C94">
    <w:pPr>
      <w:pStyle w:val="Footer"/>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83.1pt;height:13.75pt;z-index:251660288;mso-wrap-distance-left:0;mso-wrap-distance-right:0;mso-position-horizontal:center;mso-position-horizontal-relative:margin" stroked="f">
          <v:fill opacity="0" color2="black"/>
          <v:textbox style="mso-next-textbox:#_x0000_s2049" inset="0,0,0,0">
            <w:txbxContent>
              <w:p w:rsidR="00916C94" w:rsidRPr="00DB52B9" w:rsidRDefault="00916C94" w:rsidP="00DB52B9"/>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94" w:rsidRDefault="00916C94" w:rsidP="00DA6FD5">
      <w:r>
        <w:separator/>
      </w:r>
    </w:p>
  </w:footnote>
  <w:footnote w:type="continuationSeparator" w:id="0">
    <w:p w:rsidR="00916C94" w:rsidRDefault="00916C94" w:rsidP="00DA6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64478"/>
    <w:multiLevelType w:val="hybridMultilevel"/>
    <w:tmpl w:val="328EC5D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7B533B"/>
    <w:multiLevelType w:val="hybridMultilevel"/>
    <w:tmpl w:val="E2CEA7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6DA"/>
    <w:rsid w:val="00130FA7"/>
    <w:rsid w:val="00142BAE"/>
    <w:rsid w:val="001534A8"/>
    <w:rsid w:val="001A0223"/>
    <w:rsid w:val="001C38C6"/>
    <w:rsid w:val="002B75E7"/>
    <w:rsid w:val="00305BB0"/>
    <w:rsid w:val="00334550"/>
    <w:rsid w:val="00363F2C"/>
    <w:rsid w:val="003914C6"/>
    <w:rsid w:val="0040517C"/>
    <w:rsid w:val="00473383"/>
    <w:rsid w:val="004846C2"/>
    <w:rsid w:val="00486D2E"/>
    <w:rsid w:val="004873FB"/>
    <w:rsid w:val="004A289D"/>
    <w:rsid w:val="004B732A"/>
    <w:rsid w:val="004C1CEE"/>
    <w:rsid w:val="004C51F8"/>
    <w:rsid w:val="004F1373"/>
    <w:rsid w:val="005766D1"/>
    <w:rsid w:val="0058243B"/>
    <w:rsid w:val="00593BD6"/>
    <w:rsid w:val="00595BB5"/>
    <w:rsid w:val="00613B4C"/>
    <w:rsid w:val="0075174E"/>
    <w:rsid w:val="007A38ED"/>
    <w:rsid w:val="007E44FF"/>
    <w:rsid w:val="00871797"/>
    <w:rsid w:val="008C16BF"/>
    <w:rsid w:val="008C458F"/>
    <w:rsid w:val="00916C94"/>
    <w:rsid w:val="00950126"/>
    <w:rsid w:val="009C41FD"/>
    <w:rsid w:val="00B02F7C"/>
    <w:rsid w:val="00B60A54"/>
    <w:rsid w:val="00B64D02"/>
    <w:rsid w:val="00B719CB"/>
    <w:rsid w:val="00BB12BF"/>
    <w:rsid w:val="00C056DA"/>
    <w:rsid w:val="00D63D33"/>
    <w:rsid w:val="00D6683D"/>
    <w:rsid w:val="00D9261A"/>
    <w:rsid w:val="00DA6FD5"/>
    <w:rsid w:val="00DB52B9"/>
    <w:rsid w:val="00DB5C50"/>
    <w:rsid w:val="00DF5414"/>
    <w:rsid w:val="00E44D8A"/>
    <w:rsid w:val="00E54326"/>
    <w:rsid w:val="00EB790D"/>
    <w:rsid w:val="00EC2C2E"/>
    <w:rsid w:val="00FE4A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A"/>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C056DA"/>
    <w:pPr>
      <w:keepNext/>
      <w:tabs>
        <w:tab w:val="num" w:pos="432"/>
      </w:tabs>
      <w:spacing w:before="240" w:after="60"/>
      <w:ind w:left="432" w:hanging="432"/>
      <w:outlineLvl w:val="0"/>
    </w:pPr>
    <w:rPr>
      <w:rFonts w:ascii="Arial" w:hAnsi="Arial"/>
      <w:b/>
      <w:bCs/>
      <w:kern w:val="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6DA"/>
    <w:rPr>
      <w:rFonts w:ascii="Arial" w:hAnsi="Arial" w:cs="Times New Roman"/>
      <w:b/>
      <w:bCs/>
      <w:kern w:val="1"/>
      <w:sz w:val="32"/>
      <w:szCs w:val="32"/>
      <w:lang w:eastAsia="ar-SA" w:bidi="ar-SA"/>
    </w:rPr>
  </w:style>
  <w:style w:type="paragraph" w:styleId="Footer">
    <w:name w:val="footer"/>
    <w:basedOn w:val="Normal"/>
    <w:link w:val="FooterChar"/>
    <w:uiPriority w:val="99"/>
    <w:rsid w:val="00C056DA"/>
    <w:pPr>
      <w:tabs>
        <w:tab w:val="center" w:pos="4677"/>
        <w:tab w:val="right" w:pos="9355"/>
      </w:tabs>
    </w:pPr>
  </w:style>
  <w:style w:type="character" w:customStyle="1" w:styleId="FooterChar">
    <w:name w:val="Footer Char"/>
    <w:basedOn w:val="DefaultParagraphFont"/>
    <w:link w:val="Footer"/>
    <w:uiPriority w:val="99"/>
    <w:locked/>
    <w:rsid w:val="00C056DA"/>
    <w:rPr>
      <w:rFonts w:ascii="Times New Roman" w:hAnsi="Times New Roman" w:cs="Times New Roman"/>
      <w:sz w:val="24"/>
      <w:szCs w:val="24"/>
      <w:lang w:eastAsia="ar-SA" w:bidi="ar-SA"/>
    </w:rPr>
  </w:style>
  <w:style w:type="paragraph" w:styleId="ListParagraph">
    <w:name w:val="List Paragraph"/>
    <w:aliases w:val="Содержание. 2 уровень,Bullet List,FooterText,numbered,Цветной список - Акцент 11,Список нумерованный цифры,A_маркированный_список"/>
    <w:basedOn w:val="Normal"/>
    <w:link w:val="ListParagraphChar"/>
    <w:uiPriority w:val="99"/>
    <w:qFormat/>
    <w:rsid w:val="00C056DA"/>
    <w:pPr>
      <w:suppressAutoHyphens w:val="0"/>
      <w:ind w:left="720"/>
      <w:contextualSpacing/>
    </w:pPr>
    <w:rPr>
      <w:rFonts w:eastAsia="Calibri"/>
      <w:szCs w:val="20"/>
      <w:lang w:eastAsia="ru-RU"/>
    </w:rPr>
  </w:style>
  <w:style w:type="character" w:customStyle="1" w:styleId="ListParagraphChar">
    <w:name w:val="List Paragraph Char"/>
    <w:aliases w:val="Содержание. 2 уровень Char,Bullet List Char,FooterText Char,numbered Char,Цветной список - Акцент 11 Char,Список нумерованный цифры Char,A_маркированный_список Char"/>
    <w:link w:val="ListParagraph"/>
    <w:uiPriority w:val="99"/>
    <w:locked/>
    <w:rsid w:val="00C056DA"/>
    <w:rPr>
      <w:rFonts w:ascii="Times New Roman" w:hAnsi="Times New Roman"/>
      <w:sz w:val="24"/>
    </w:rPr>
  </w:style>
  <w:style w:type="paragraph" w:customStyle="1" w:styleId="a">
    <w:name w:val="Содержимое таблицы"/>
    <w:basedOn w:val="Normal"/>
    <w:uiPriority w:val="99"/>
    <w:rsid w:val="00C056DA"/>
    <w:pPr>
      <w:suppressLineNumbers/>
    </w:pPr>
  </w:style>
</w:styles>
</file>

<file path=word/webSettings.xml><?xml version="1.0" encoding="utf-8"?>
<w:webSettings xmlns:r="http://schemas.openxmlformats.org/officeDocument/2006/relationships" xmlns:w="http://schemas.openxmlformats.org/wordprocessingml/2006/main">
  <w:divs>
    <w:div w:id="1910848770">
      <w:marLeft w:val="0"/>
      <w:marRight w:val="0"/>
      <w:marTop w:val="0"/>
      <w:marBottom w:val="0"/>
      <w:divBdr>
        <w:top w:val="none" w:sz="0" w:space="0" w:color="auto"/>
        <w:left w:val="none" w:sz="0" w:space="0" w:color="auto"/>
        <w:bottom w:val="none" w:sz="0" w:space="0" w:color="auto"/>
        <w:right w:val="none" w:sz="0" w:space="0" w:color="auto"/>
      </w:divBdr>
    </w:div>
    <w:div w:id="1910848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8</Pages>
  <Words>3437</Words>
  <Characters>19595</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19</cp:revision>
  <cp:lastPrinted>2023-09-19T10:26:00Z</cp:lastPrinted>
  <dcterms:created xsi:type="dcterms:W3CDTF">2023-09-13T12:16:00Z</dcterms:created>
  <dcterms:modified xsi:type="dcterms:W3CDTF">2023-09-19T10:27:00Z</dcterms:modified>
</cp:coreProperties>
</file>