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5673B9" w:rsidRDefault="00BB48EB" w:rsidP="00BB48EB">
      <w:pPr>
        <w:pStyle w:val="a4"/>
        <w:jc w:val="center"/>
        <w:rPr>
          <w:rFonts w:ascii="Liberation Serif" w:hAnsi="Liberation Serif"/>
          <w:b/>
          <w:i/>
          <w:sz w:val="22"/>
          <w:szCs w:val="22"/>
        </w:rPr>
      </w:pPr>
      <w:r w:rsidRPr="005673B9">
        <w:rPr>
          <w:rFonts w:ascii="Liberation Serif" w:hAnsi="Liberation Serif"/>
          <w:b/>
          <w:i/>
          <w:sz w:val="22"/>
          <w:szCs w:val="22"/>
        </w:rPr>
        <w:t>Часть II. «Описание объекта закупки»</w:t>
      </w:r>
    </w:p>
    <w:p w:rsidR="00BB48EB" w:rsidRPr="005673B9" w:rsidRDefault="00BB48EB" w:rsidP="00BB48EB">
      <w:pPr>
        <w:pStyle w:val="a4"/>
        <w:jc w:val="center"/>
        <w:rPr>
          <w:rFonts w:ascii="Liberation Serif" w:hAnsi="Liberation Serif"/>
          <w:sz w:val="22"/>
          <w:szCs w:val="22"/>
        </w:rPr>
      </w:pPr>
    </w:p>
    <w:p w:rsidR="00216D9D" w:rsidRPr="005673B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Описание объекта закупки</w:t>
      </w:r>
    </w:p>
    <w:p w:rsidR="00216D9D" w:rsidRPr="005673B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(Задание на поставку товара, техническое задание)</w:t>
      </w:r>
    </w:p>
    <w:p w:rsidR="00D41F10" w:rsidRPr="005673B9" w:rsidRDefault="00D41F10" w:rsidP="00216D9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</w:p>
    <w:p w:rsidR="003F4FA1" w:rsidRPr="005673B9" w:rsidRDefault="003873F6" w:rsidP="00113566">
      <w:pPr>
        <w:spacing w:after="0" w:line="240" w:lineRule="auto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 xml:space="preserve">1. </w:t>
      </w:r>
      <w:r w:rsidR="00113566" w:rsidRPr="005673B9">
        <w:rPr>
          <w:rFonts w:ascii="Liberation Serif" w:hAnsi="Liberation Serif" w:cs="Times New Roman"/>
          <w:b/>
        </w:rPr>
        <w:t>Перечень поставляемых товаров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917"/>
        <w:gridCol w:w="1512"/>
        <w:gridCol w:w="1392"/>
      </w:tblGrid>
      <w:tr w:rsidR="00ED37D0" w:rsidRPr="00420B57" w:rsidTr="00BF1894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 xml:space="preserve">№ </w:t>
            </w:r>
            <w:proofErr w:type="gramStart"/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п</w:t>
            </w:r>
            <w:proofErr w:type="gramEnd"/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/п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Единицы измерения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D0" w:rsidRPr="00420B57" w:rsidRDefault="00ED37D0" w:rsidP="000E4D13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  <w:b/>
                <w:lang w:eastAsia="ru-RU"/>
              </w:rPr>
            </w:pPr>
            <w:r w:rsidRPr="00420B57">
              <w:rPr>
                <w:rFonts w:ascii="Liberation Serif" w:eastAsia="Times New Roman" w:hAnsi="Liberation Serif" w:cs="Times New Roman"/>
                <w:b/>
                <w:lang w:eastAsia="ru-RU"/>
              </w:rPr>
              <w:t>Количество единиц измерения</w:t>
            </w:r>
          </w:p>
        </w:tc>
      </w:tr>
      <w:tr w:rsidR="0021125A" w:rsidRPr="00420B57" w:rsidTr="00BF1894">
        <w:trPr>
          <w:trHeight w:val="38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420B57" w:rsidRDefault="0021125A" w:rsidP="001868DA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420B57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3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77" w:rsidRPr="00420B57" w:rsidRDefault="00284334" w:rsidP="00E93497">
            <w:pPr>
              <w:spacing w:after="0" w:line="240" w:lineRule="auto"/>
              <w:contextualSpacing/>
              <w:rPr>
                <w:rFonts w:ascii="Liberation Serif" w:hAnsi="Liberation Serif" w:cs="Times New Roman"/>
              </w:rPr>
            </w:pPr>
            <w:proofErr w:type="spellStart"/>
            <w:r w:rsidRPr="00553A44">
              <w:rPr>
                <w:rFonts w:ascii="Liberation Serif" w:hAnsi="Liberation Serif" w:cs="Times New Roman"/>
                <w:bCs/>
              </w:rPr>
              <w:t>Кардиовертер</w:t>
            </w:r>
            <w:proofErr w:type="spellEnd"/>
            <w:r w:rsidRPr="00553A44">
              <w:rPr>
                <w:rFonts w:ascii="Liberation Serif" w:hAnsi="Liberation Serif" w:cs="Times New Roman"/>
                <w:bCs/>
              </w:rPr>
              <w:t>-д</w:t>
            </w:r>
            <w:r>
              <w:rPr>
                <w:rFonts w:ascii="Liberation Serif" w:hAnsi="Liberation Serif" w:cs="Times New Roman"/>
                <w:bCs/>
              </w:rPr>
              <w:t xml:space="preserve">ефибриллятор </w:t>
            </w:r>
            <w:proofErr w:type="gramStart"/>
            <w:r>
              <w:rPr>
                <w:rFonts w:ascii="Liberation Serif" w:hAnsi="Liberation Serif" w:cs="Times New Roman"/>
                <w:bCs/>
              </w:rPr>
              <w:t>имплантируемый</w:t>
            </w:r>
            <w:proofErr w:type="gramEnd"/>
            <w:r>
              <w:rPr>
                <w:rFonts w:ascii="Liberation Serif" w:hAnsi="Liberation Serif" w:cs="Times New Roman"/>
                <w:bCs/>
              </w:rPr>
              <w:t xml:space="preserve"> двух</w:t>
            </w:r>
            <w:r w:rsidRPr="00553A44">
              <w:rPr>
                <w:rFonts w:ascii="Liberation Serif" w:hAnsi="Liberation Serif" w:cs="Times New Roman"/>
                <w:bCs/>
              </w:rPr>
              <w:t xml:space="preserve">камерный в </w:t>
            </w:r>
            <w:r w:rsidRPr="00B02EA0">
              <w:rPr>
                <w:rFonts w:ascii="Liberation Serif" w:hAnsi="Liberation Serif" w:cs="Times New Roman"/>
                <w:bCs/>
              </w:rPr>
              <w:t xml:space="preserve">комплектации: </w:t>
            </w:r>
            <w:proofErr w:type="spellStart"/>
            <w:r w:rsidRPr="00B02EA0">
              <w:rPr>
                <w:rFonts w:ascii="Liberation Serif" w:eastAsia="Times New Roman" w:hAnsi="Liberation Serif" w:cs="Liberation Serif"/>
                <w:bCs/>
                <w:color w:val="000000"/>
              </w:rPr>
              <w:t>Кардиовертер</w:t>
            </w:r>
            <w:proofErr w:type="spellEnd"/>
            <w:r w:rsidRPr="00B02EA0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-дефибриллятор </w:t>
            </w:r>
            <w:proofErr w:type="gramStart"/>
            <w:r w:rsidRPr="00B02EA0">
              <w:rPr>
                <w:rFonts w:ascii="Liberation Serif" w:eastAsia="Times New Roman" w:hAnsi="Liberation Serif" w:cs="Liberation Serif"/>
                <w:bCs/>
                <w:color w:val="000000"/>
              </w:rPr>
              <w:t>имплантируемый</w:t>
            </w:r>
            <w:proofErr w:type="gramEnd"/>
            <w:r w:rsidRPr="00B02EA0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 двухкамерный 1 шт.; </w:t>
            </w:r>
            <w:r w:rsidRPr="00B02EA0">
              <w:rPr>
                <w:rFonts w:ascii="Liberation Serif" w:eastAsia="Times New Roman" w:hAnsi="Liberation Serif" w:cs="Liberation Serif"/>
                <w:bCs/>
              </w:rPr>
              <w:t xml:space="preserve">Отведение дефибриллятора </w:t>
            </w:r>
            <w:proofErr w:type="spellStart"/>
            <w:r w:rsidRPr="00B02EA0">
              <w:rPr>
                <w:rFonts w:ascii="Liberation Serif" w:eastAsia="Times New Roman" w:hAnsi="Liberation Serif" w:cs="Liberation Serif"/>
                <w:bCs/>
              </w:rPr>
              <w:t>эндокардиальное</w:t>
            </w:r>
            <w:proofErr w:type="spellEnd"/>
            <w:r w:rsidRPr="00B02EA0">
              <w:rPr>
                <w:rFonts w:ascii="Liberation Serif" w:eastAsia="Times New Roman" w:hAnsi="Liberation Serif" w:cs="Liberation Serif"/>
                <w:bCs/>
              </w:rPr>
              <w:t xml:space="preserve"> 1 шт.; Отведение дефибриллятора </w:t>
            </w:r>
            <w:proofErr w:type="spellStart"/>
            <w:r w:rsidRPr="00B02EA0">
              <w:rPr>
                <w:rFonts w:ascii="Liberation Serif" w:eastAsia="Times New Roman" w:hAnsi="Liberation Serif" w:cs="Liberation Serif"/>
                <w:bCs/>
              </w:rPr>
              <w:t>эндокардиальное</w:t>
            </w:r>
            <w:proofErr w:type="spellEnd"/>
            <w:r w:rsidRPr="00B02EA0">
              <w:rPr>
                <w:rFonts w:ascii="Liberation Serif" w:eastAsia="Times New Roman" w:hAnsi="Liberation Serif" w:cs="Liberation Serif"/>
                <w:bCs/>
              </w:rPr>
              <w:t xml:space="preserve"> 1 шт.; </w:t>
            </w:r>
            <w:proofErr w:type="spellStart"/>
            <w:r w:rsidRPr="00B02EA0">
              <w:rPr>
                <w:rFonts w:ascii="Liberation Serif" w:hAnsi="Liberation Serif" w:cs="Times New Roman"/>
              </w:rPr>
              <w:t>Интродьюсер</w:t>
            </w:r>
            <w:proofErr w:type="spellEnd"/>
            <w:r w:rsidRPr="00B02EA0">
              <w:rPr>
                <w:rFonts w:ascii="Liberation Serif" w:hAnsi="Liberation Serif" w:cs="Times New Roman"/>
              </w:rPr>
              <w:t xml:space="preserve"> для ввода медицинских инструментов при сердечно-сосудистых заболеваниях, неуправляемый</w:t>
            </w:r>
            <w:r>
              <w:rPr>
                <w:rFonts w:ascii="Liberation Serif" w:hAnsi="Liberation Serif" w:cs="Times New Roman"/>
              </w:rPr>
              <w:t xml:space="preserve"> 2 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420B57" w:rsidRDefault="00585705" w:rsidP="0021125A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420B57">
              <w:rPr>
                <w:rFonts w:ascii="Liberation Serif" w:hAnsi="Liberation Serif" w:cs="Times New Roman"/>
              </w:rPr>
              <w:t>шт.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5A" w:rsidRPr="00420B57" w:rsidRDefault="00D34AB1" w:rsidP="00D334F6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</w:tr>
    </w:tbl>
    <w:p w:rsidR="00D41F10" w:rsidRPr="00116C89" w:rsidRDefault="00D41F10" w:rsidP="008179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5673B9" w:rsidRDefault="008346EA" w:rsidP="005673B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</w:rPr>
      </w:pPr>
      <w:r w:rsidRPr="005673B9">
        <w:rPr>
          <w:rFonts w:ascii="Liberation Serif" w:hAnsi="Liberation Serif" w:cs="Times New Roman"/>
          <w:b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 w:rsidR="005673B9">
        <w:rPr>
          <w:rFonts w:ascii="Liberation Serif" w:hAnsi="Liberation Serif" w:cs="Times New Roman"/>
          <w:b/>
        </w:rPr>
        <w:t xml:space="preserve">. </w:t>
      </w:r>
    </w:p>
    <w:p w:rsidR="00E10F2D" w:rsidRDefault="000C5C7A" w:rsidP="005673B9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</w:rPr>
      </w:pPr>
      <w:r w:rsidRPr="005673B9">
        <w:rPr>
          <w:rFonts w:ascii="Liberation Serif" w:eastAsia="Calibri" w:hAnsi="Liberation Serif" w:cs="Times New Roman"/>
          <w:b/>
        </w:rPr>
        <w:t>Функциональные характеристики (потребительские свойства), технические и качественные характеристики товара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7562"/>
        <w:gridCol w:w="2091"/>
      </w:tblGrid>
      <w:tr w:rsidR="0070059F" w:rsidRPr="00420B57" w:rsidTr="00D34AB1">
        <w:trPr>
          <w:jc w:val="center"/>
        </w:trPr>
        <w:tc>
          <w:tcPr>
            <w:tcW w:w="305" w:type="pct"/>
            <w:vAlign w:val="center"/>
          </w:tcPr>
          <w:p w:rsidR="0070059F" w:rsidRPr="00420B57" w:rsidRDefault="00ED412D" w:rsidP="00420B5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 xml:space="preserve">№ </w:t>
            </w:r>
            <w:proofErr w:type="gramStart"/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п</w:t>
            </w:r>
            <w:proofErr w:type="gramEnd"/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/п</w:t>
            </w:r>
          </w:p>
        </w:tc>
        <w:tc>
          <w:tcPr>
            <w:tcW w:w="3678" w:type="pct"/>
            <w:shd w:val="clear" w:color="auto" w:fill="auto"/>
            <w:noWrap/>
            <w:vAlign w:val="center"/>
            <w:hideMark/>
          </w:tcPr>
          <w:p w:rsidR="0070059F" w:rsidRPr="00420B57" w:rsidRDefault="0070059F" w:rsidP="00420B5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Характеристики</w:t>
            </w:r>
          </w:p>
        </w:tc>
        <w:tc>
          <w:tcPr>
            <w:tcW w:w="1017" w:type="pct"/>
            <w:vAlign w:val="center"/>
          </w:tcPr>
          <w:p w:rsidR="0070059F" w:rsidRPr="00420B57" w:rsidRDefault="0070059F" w:rsidP="00420B57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val="en-US"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  <w:t>Требуемое значение показателей</w:t>
            </w:r>
          </w:p>
        </w:tc>
      </w:tr>
      <w:tr w:rsidR="00AD0A15" w:rsidRPr="00420B57" w:rsidTr="005E162E">
        <w:trPr>
          <w:jc w:val="center"/>
        </w:trPr>
        <w:tc>
          <w:tcPr>
            <w:tcW w:w="305" w:type="pct"/>
            <w:vAlign w:val="center"/>
          </w:tcPr>
          <w:p w:rsidR="00AD0A15" w:rsidRPr="00420B57" w:rsidRDefault="007A74D1" w:rsidP="005E162E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val="en-US"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val="en-US" w:eastAsia="ru-RU"/>
              </w:rPr>
              <w:t>I</w:t>
            </w:r>
          </w:p>
        </w:tc>
        <w:tc>
          <w:tcPr>
            <w:tcW w:w="4695" w:type="pct"/>
            <w:gridSpan w:val="2"/>
            <w:shd w:val="clear" w:color="auto" w:fill="auto"/>
            <w:vAlign w:val="center"/>
          </w:tcPr>
          <w:p w:rsidR="00AD0A15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  <w:color w:val="000000" w:themeColor="text1"/>
                <w:lang w:eastAsia="ru-RU"/>
              </w:rPr>
            </w:pPr>
            <w:proofErr w:type="spellStart"/>
            <w:r w:rsidRPr="00D34AB1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Кардиовертер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-дефибриллятор имплантируемый двухкамерный</w:t>
            </w:r>
          </w:p>
        </w:tc>
      </w:tr>
      <w:tr w:rsidR="00553A44" w:rsidRPr="00420B57" w:rsidTr="00D34AB1">
        <w:trPr>
          <w:jc w:val="center"/>
        </w:trPr>
        <w:tc>
          <w:tcPr>
            <w:tcW w:w="305" w:type="pct"/>
            <w:vAlign w:val="center"/>
          </w:tcPr>
          <w:p w:rsidR="00553A44" w:rsidRPr="00420B57" w:rsidRDefault="00553A44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1.1.</w:t>
            </w:r>
          </w:p>
        </w:tc>
        <w:tc>
          <w:tcPr>
            <w:tcW w:w="3678" w:type="pct"/>
            <w:shd w:val="clear" w:color="auto" w:fill="auto"/>
          </w:tcPr>
          <w:p w:rsidR="00553A44" w:rsidRPr="00553A44" w:rsidRDefault="00D34AB1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Стерильный работающий от батареи герметично запечатанный импульсный генератор с системой распознавания сердечного ритма, предназначенный для сбора и анализа электрокардиографических (ЭКГ) данных и доставки соответствующих электрических импульсов для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дефибрилляции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 сердца (восстановления нормального ритма) или замедления учащенного сердцебиения, а также для того, чтобы задать ритм сердцу (с целью лечения брадикардии). Изделие имплантируется в специально сформированный мешочек под кожей грудной клетки или живота пациента и предназначено для использования вместе с отведениями, расположенными внутри правого предсердия и правого желудочка для мониторинга ЭКГ и автоматической доставки электрического импульса; изделие широко известное как автоматический имплантируемый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кардиовертер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>-дефибриллятор (АИКД). Конструкция изделия позволяет проводить МРТ исследования безопасно для пациента.</w:t>
            </w:r>
          </w:p>
        </w:tc>
        <w:tc>
          <w:tcPr>
            <w:tcW w:w="1017" w:type="pct"/>
            <w:vAlign w:val="center"/>
          </w:tcPr>
          <w:p w:rsidR="00553A44" w:rsidRPr="00553A44" w:rsidRDefault="00D34AB1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1.2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Кардиовертер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>-дефибриллятор должен поддерживать следующие режимы: DDDR, DDIR, VVIR, AAIR, DOO, DDD, DDI, VVI, AAI, VOO, VDDR, VDIR, VDD, VDI, Выключено</w:t>
            </w:r>
          </w:p>
        </w:tc>
        <w:tc>
          <w:tcPr>
            <w:tcW w:w="1017" w:type="pct"/>
            <w:vAlign w:val="center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1.3</w:t>
            </w:r>
          </w:p>
        </w:tc>
        <w:tc>
          <w:tcPr>
            <w:tcW w:w="3678" w:type="pct"/>
            <w:shd w:val="clear" w:color="auto" w:fill="auto"/>
            <w:noWrap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>Программируемое максимальное значение базовой частоты, уд/мин</w:t>
            </w:r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160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1.4</w:t>
            </w:r>
          </w:p>
        </w:tc>
        <w:tc>
          <w:tcPr>
            <w:tcW w:w="3678" w:type="pct"/>
            <w:shd w:val="clear" w:color="auto" w:fill="auto"/>
            <w:noWrap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Программируемое минимальное значение амплитуды импульса,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В</w:t>
            </w:r>
            <w:proofErr w:type="gram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0.5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1.5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Программируемое максимальное значение амплитуды импульса,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В</w:t>
            </w:r>
            <w:proofErr w:type="gram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7.5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1.6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Программируемое минимальное значение длительности импульса,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мс</w:t>
            </w:r>
            <w:proofErr w:type="spell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0.4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1.7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Программируемое максимальное значение длительности импульса,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мс</w:t>
            </w:r>
            <w:proofErr w:type="spell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1.5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420B57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1.8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Минимальная предсердно-желудочковая задержка,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мс</w:t>
            </w:r>
            <w:proofErr w:type="spell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30</w:t>
            </w:r>
          </w:p>
        </w:tc>
      </w:tr>
      <w:tr w:rsidR="00D34AB1" w:rsidRPr="00553A44" w:rsidTr="00D34AB1">
        <w:trPr>
          <w:jc w:val="center"/>
        </w:trPr>
        <w:tc>
          <w:tcPr>
            <w:tcW w:w="305" w:type="pct"/>
            <w:vAlign w:val="center"/>
          </w:tcPr>
          <w:p w:rsidR="00D34AB1" w:rsidRPr="00553A44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553A44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1.9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Максимальная предсердно-желудочковая задержка,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мс</w:t>
            </w:r>
            <w:proofErr w:type="spell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350</w:t>
            </w:r>
          </w:p>
        </w:tc>
      </w:tr>
      <w:tr w:rsidR="00D34AB1" w:rsidRPr="00553A44" w:rsidTr="00D34AB1">
        <w:trPr>
          <w:jc w:val="center"/>
        </w:trPr>
        <w:tc>
          <w:tcPr>
            <w:tcW w:w="305" w:type="pct"/>
            <w:vAlign w:val="center"/>
          </w:tcPr>
          <w:p w:rsidR="00D34AB1" w:rsidRPr="00553A44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553A44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1.10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Программируемое максимальное значение энергии разряда,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Дж</w:t>
            </w:r>
            <w:proofErr w:type="gram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40</w:t>
            </w:r>
          </w:p>
        </w:tc>
      </w:tr>
      <w:tr w:rsidR="00D34AB1" w:rsidRPr="00553A44" w:rsidTr="00D34AB1">
        <w:trPr>
          <w:jc w:val="center"/>
        </w:trPr>
        <w:tc>
          <w:tcPr>
            <w:tcW w:w="305" w:type="pct"/>
            <w:vAlign w:val="center"/>
          </w:tcPr>
          <w:p w:rsidR="00D34AB1" w:rsidRPr="00553A44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553A44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1.11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Масса,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г</w:t>
            </w:r>
            <w:proofErr w:type="gram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77</w:t>
            </w:r>
          </w:p>
        </w:tc>
      </w:tr>
      <w:tr w:rsidR="00D34AB1" w:rsidRPr="00553A44" w:rsidTr="00D34AB1">
        <w:trPr>
          <w:jc w:val="center"/>
        </w:trPr>
        <w:tc>
          <w:tcPr>
            <w:tcW w:w="305" w:type="pct"/>
            <w:vAlign w:val="center"/>
          </w:tcPr>
          <w:p w:rsidR="00D34AB1" w:rsidRPr="00553A44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553A44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1.12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>Объем, см3</w:t>
            </w:r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32</w:t>
            </w:r>
          </w:p>
        </w:tc>
      </w:tr>
      <w:tr w:rsidR="00D34AB1" w:rsidRPr="00553A44" w:rsidTr="00D34AB1">
        <w:trPr>
          <w:jc w:val="center"/>
        </w:trPr>
        <w:tc>
          <w:tcPr>
            <w:tcW w:w="305" w:type="pct"/>
            <w:vAlign w:val="center"/>
          </w:tcPr>
          <w:p w:rsidR="00D34AB1" w:rsidRPr="00553A44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553A44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1.13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Толщина,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мм</w:t>
            </w:r>
            <w:proofErr w:type="gram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10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553A44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553A44"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  <w:t>1.14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>Срок службы, лет</w:t>
            </w:r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10</w:t>
            </w:r>
          </w:p>
        </w:tc>
      </w:tr>
      <w:tr w:rsidR="00D34AB1" w:rsidRPr="00420B57" w:rsidTr="005E162E">
        <w:trPr>
          <w:trHeight w:val="60"/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5E162E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 w:rsidRPr="00420B57">
              <w:rPr>
                <w:rFonts w:ascii="Liberation Serif" w:hAnsi="Liberation Serif" w:cs="Liberation Serif"/>
                <w:b/>
                <w:lang w:val="en-US"/>
              </w:rPr>
              <w:t>II</w:t>
            </w:r>
          </w:p>
        </w:tc>
        <w:tc>
          <w:tcPr>
            <w:tcW w:w="4695" w:type="pct"/>
            <w:gridSpan w:val="2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</w:rPr>
            </w:pPr>
            <w:r w:rsidRPr="00D34AB1">
              <w:rPr>
                <w:rFonts w:ascii="Liberation Serif" w:eastAsia="Times New Roman" w:hAnsi="Liberation Serif" w:cs="Liberation Serif"/>
                <w:b/>
                <w:bCs/>
              </w:rPr>
              <w:t xml:space="preserve">Отведение электрокардиостимулятора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  <w:b/>
                <w:bCs/>
              </w:rPr>
              <w:t>эндокардиальное</w:t>
            </w:r>
            <w:proofErr w:type="spellEnd"/>
          </w:p>
        </w:tc>
      </w:tr>
      <w:tr w:rsidR="00D34AB1" w:rsidRPr="00420B57" w:rsidTr="00D34AB1">
        <w:trPr>
          <w:trHeight w:val="518"/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78" w:type="pct"/>
            <w:vAlign w:val="center"/>
          </w:tcPr>
          <w:p w:rsidR="00D34AB1" w:rsidRPr="00553A44" w:rsidRDefault="00D34AB1" w:rsidP="00553A4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Стерильный имплантируемый гибкий провод с электродом, изолированный непроводящим материалом по всей длине, за исключением оголенных окончаний, предназначенный для использования в качестве электрического проводника для передачи задающих ритм импульсов от имплантированного </w:t>
            </w:r>
            <w:r w:rsidRPr="00D34AB1">
              <w:rPr>
                <w:rFonts w:ascii="Liberation Serif" w:eastAsia="Times New Roman" w:hAnsi="Liberation Serif" w:cs="Liberation Serif"/>
              </w:rPr>
              <w:lastRenderedPageBreak/>
              <w:t xml:space="preserve">импульсного генератора к сердцу; изделие не предназначено для проведения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дефибрилляционных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 импульсов. Вывод электрода обычно вводится через вену до соприкосновения со стенкой одной из камер сердца (эндокардом), а другой конец провода подключается к электрокардиостимулятору. Как правило, изделие пропитано стероидом (например,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дексаметазоном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>), впоследствии вещество выделяется в ткани для уменьшения воспаления. Имеет специальную защиту от магнитного поля и является обязательным компонентом МРТ-совместимой системы электрокардиостимулятора.</w:t>
            </w:r>
          </w:p>
        </w:tc>
        <w:tc>
          <w:tcPr>
            <w:tcW w:w="1017" w:type="pct"/>
            <w:vAlign w:val="center"/>
          </w:tcPr>
          <w:p w:rsidR="00D34AB1" w:rsidRPr="00553A44" w:rsidRDefault="00D34AB1" w:rsidP="00553A44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соответствие</w:t>
            </w:r>
          </w:p>
        </w:tc>
      </w:tr>
      <w:tr w:rsidR="00D34AB1" w:rsidRPr="00420B57" w:rsidTr="00BD20A9">
        <w:trPr>
          <w:trHeight w:val="60"/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lastRenderedPageBreak/>
              <w:t>2.2</w:t>
            </w:r>
          </w:p>
        </w:tc>
        <w:tc>
          <w:tcPr>
            <w:tcW w:w="3678" w:type="pct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Длина,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см</w:t>
            </w:r>
            <w:proofErr w:type="gramEnd"/>
          </w:p>
        </w:tc>
        <w:tc>
          <w:tcPr>
            <w:tcW w:w="1017" w:type="pct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52</w:t>
            </w:r>
          </w:p>
        </w:tc>
      </w:tr>
      <w:tr w:rsidR="00D34AB1" w:rsidRPr="00420B57" w:rsidTr="00BD20A9">
        <w:trPr>
          <w:trHeight w:val="60"/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2.3</w:t>
            </w:r>
          </w:p>
        </w:tc>
        <w:tc>
          <w:tcPr>
            <w:tcW w:w="3678" w:type="pct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>Максимальный внешний диаметр, Френч</w:t>
            </w:r>
          </w:p>
        </w:tc>
        <w:tc>
          <w:tcPr>
            <w:tcW w:w="1017" w:type="pct"/>
            <w:shd w:val="clear" w:color="auto" w:fill="auto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6</w:t>
            </w:r>
          </w:p>
        </w:tc>
      </w:tr>
      <w:tr w:rsidR="00D34AB1" w:rsidRPr="00420B57" w:rsidTr="007A74D1">
        <w:trPr>
          <w:jc w:val="center"/>
        </w:trPr>
        <w:tc>
          <w:tcPr>
            <w:tcW w:w="305" w:type="pct"/>
            <w:vAlign w:val="center"/>
          </w:tcPr>
          <w:p w:rsidR="00D34AB1" w:rsidRPr="005E162E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lang w:val="en-US"/>
              </w:rPr>
            </w:pPr>
            <w:r w:rsidRPr="005E162E">
              <w:rPr>
                <w:rFonts w:ascii="Liberation Serif" w:hAnsi="Liberation Serif" w:cs="Liberation Serif"/>
                <w:b/>
                <w:lang w:val="en-US"/>
              </w:rPr>
              <w:t>III</w:t>
            </w:r>
          </w:p>
        </w:tc>
        <w:tc>
          <w:tcPr>
            <w:tcW w:w="4695" w:type="pct"/>
            <w:gridSpan w:val="2"/>
            <w:shd w:val="clear" w:color="auto" w:fill="auto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Cs/>
                <w:color w:val="000000" w:themeColor="text1"/>
                <w:lang w:eastAsia="ru-RU"/>
              </w:rPr>
            </w:pPr>
            <w:r w:rsidRPr="00D34AB1">
              <w:rPr>
                <w:rFonts w:ascii="Liberation Serif" w:eastAsia="Times New Roman" w:hAnsi="Liberation Serif" w:cs="Liberation Serif"/>
                <w:b/>
                <w:bCs/>
              </w:rPr>
              <w:t xml:space="preserve">Отведение дефибриллятора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  <w:b/>
                <w:bCs/>
              </w:rPr>
              <w:t>эндокардиальное</w:t>
            </w:r>
            <w:proofErr w:type="spellEnd"/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3.1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D34AB1" w:rsidRPr="00293553" w:rsidRDefault="00D34AB1" w:rsidP="00293553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Стерильный имплантируемый гибкий провод с электродом, изолированный непроводящим материалом по всей длине, за исключением оголенных окончаний, предназначенный для использования в качестве электрического проводника для передачи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дефибрилляционных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 импульсов от имплантированного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кардиовертер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-дефибриллятора (ИКД) [автоматического имплантируемого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кардиовертер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>-дефибриллятора (АИКД)] к эндокарду правого желудочка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.</w:t>
            </w:r>
            <w:proofErr w:type="gramEnd"/>
            <w:r w:rsidRPr="00D34AB1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т</w:t>
            </w:r>
            <w:proofErr w:type="gramEnd"/>
            <w:r w:rsidRPr="00D34AB1">
              <w:rPr>
                <w:rFonts w:ascii="Liberation Serif" w:eastAsia="Times New Roman" w:hAnsi="Liberation Serif" w:cs="Liberation Serif"/>
              </w:rPr>
              <w:t xml:space="preserve">акже может предназначаться для передачи задающих ритм импульсов от импульсного генератора для сердечной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ресинхронизирующей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 терапии (СРТ), АИКД или другого задающего ритм устройства. Как правило, изделие пропитано стероидом (например,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дексаметазоном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>), впоследствии вещество выделяется в ткани для уменьшения воспаления.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34AB1" w:rsidRPr="00293553" w:rsidRDefault="00D34AB1" w:rsidP="00293553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D34AB1" w:rsidRPr="00420B57" w:rsidTr="00E77B68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3.2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Длина,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см</w:t>
            </w:r>
            <w:proofErr w:type="gramEnd"/>
          </w:p>
        </w:tc>
        <w:tc>
          <w:tcPr>
            <w:tcW w:w="1017" w:type="pct"/>
            <w:shd w:val="clear" w:color="auto" w:fill="auto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59</w:t>
            </w:r>
          </w:p>
        </w:tc>
      </w:tr>
      <w:tr w:rsidR="00D34AB1" w:rsidRPr="00420B57" w:rsidTr="00E77B68">
        <w:trPr>
          <w:jc w:val="center"/>
        </w:trPr>
        <w:tc>
          <w:tcPr>
            <w:tcW w:w="305" w:type="pct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3.3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>Максимальный внешний диаметр, Френч</w:t>
            </w:r>
          </w:p>
        </w:tc>
        <w:tc>
          <w:tcPr>
            <w:tcW w:w="1017" w:type="pct"/>
            <w:shd w:val="clear" w:color="auto" w:fill="auto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8</w:t>
            </w:r>
          </w:p>
        </w:tc>
      </w:tr>
      <w:tr w:rsidR="00D34AB1" w:rsidRPr="00420B57" w:rsidTr="00E77B68">
        <w:trPr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D34AB1" w:rsidRPr="00420B57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 w:rsidRPr="00420B57">
              <w:rPr>
                <w:rFonts w:ascii="Liberation Serif" w:hAnsi="Liberation Serif" w:cs="Liberation Serif"/>
              </w:rPr>
              <w:t>3.4</w:t>
            </w:r>
          </w:p>
        </w:tc>
        <w:tc>
          <w:tcPr>
            <w:tcW w:w="3678" w:type="pct"/>
            <w:shd w:val="clear" w:color="auto" w:fill="auto"/>
          </w:tcPr>
          <w:p w:rsidR="00D34AB1" w:rsidRPr="00D34AB1" w:rsidRDefault="00D34AB1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>Материал изоляции</w:t>
            </w:r>
          </w:p>
        </w:tc>
        <w:tc>
          <w:tcPr>
            <w:tcW w:w="1017" w:type="pct"/>
            <w:shd w:val="clear" w:color="auto" w:fill="auto"/>
          </w:tcPr>
          <w:p w:rsidR="00D34AB1" w:rsidRPr="00D34AB1" w:rsidRDefault="00D34AB1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Силикон</w:t>
            </w:r>
          </w:p>
        </w:tc>
      </w:tr>
      <w:tr w:rsidR="00D34AB1" w:rsidRPr="00A643A7" w:rsidTr="00A643A7">
        <w:trPr>
          <w:jc w:val="center"/>
        </w:trPr>
        <w:tc>
          <w:tcPr>
            <w:tcW w:w="305" w:type="pct"/>
            <w:vAlign w:val="center"/>
          </w:tcPr>
          <w:p w:rsidR="00D34AB1" w:rsidRPr="00A643A7" w:rsidRDefault="00D34AB1" w:rsidP="00420B5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lang w:val="en-US"/>
              </w:rPr>
            </w:pPr>
            <w:r>
              <w:rPr>
                <w:rFonts w:ascii="Liberation Serif" w:eastAsia="Times New Roman" w:hAnsi="Liberation Serif" w:cs="Liberation Serif"/>
                <w:b/>
                <w:lang w:val="en-US"/>
              </w:rPr>
              <w:t>IV</w:t>
            </w:r>
          </w:p>
        </w:tc>
        <w:tc>
          <w:tcPr>
            <w:tcW w:w="4695" w:type="pct"/>
            <w:gridSpan w:val="2"/>
            <w:shd w:val="clear" w:color="auto" w:fill="auto"/>
            <w:vAlign w:val="center"/>
          </w:tcPr>
          <w:p w:rsidR="00D34AB1" w:rsidRPr="00D34AB1" w:rsidRDefault="00D34AB1" w:rsidP="00A643A7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b/>
                <w:bCs/>
              </w:rPr>
            </w:pPr>
            <w:r w:rsidRPr="00D34AB1">
              <w:rPr>
                <w:rFonts w:ascii="Liberation Serif" w:eastAsia="Times New Roman" w:hAnsi="Liberation Serif" w:cs="Liberation Serif"/>
                <w:b/>
                <w:bCs/>
              </w:rPr>
              <w:t>Интродьюсер для катетера</w:t>
            </w:r>
          </w:p>
        </w:tc>
      </w:tr>
      <w:tr w:rsidR="00D34AB1" w:rsidRPr="00420B57" w:rsidTr="00D34AB1">
        <w:trPr>
          <w:jc w:val="center"/>
        </w:trPr>
        <w:tc>
          <w:tcPr>
            <w:tcW w:w="305" w:type="pct"/>
            <w:vAlign w:val="center"/>
          </w:tcPr>
          <w:p w:rsidR="00D34AB1" w:rsidRDefault="00D34AB1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4.1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D34AB1" w:rsidRPr="00A643A7" w:rsidRDefault="00D34AB1" w:rsidP="00A643A7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Трубчатое устройство, которое подкожно помещают в естественное пространство тела (например, вену, артерию, желудочек, брюшину) или искусственный проход (например, полученный с помощью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катетерного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туннелера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>), и через который затем вводится катетер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.</w:t>
            </w:r>
            <w:proofErr w:type="gramEnd"/>
            <w:r w:rsidRPr="00D34AB1">
              <w:rPr>
                <w:rFonts w:ascii="Liberation Serif" w:eastAsia="Times New Roman" w:hAnsi="Liberation Serif" w:cs="Liberation Serif"/>
              </w:rPr>
              <w:t xml:space="preserve"> </w:t>
            </w:r>
            <w:proofErr w:type="gramStart"/>
            <w:r w:rsidRPr="00D34AB1">
              <w:rPr>
                <w:rFonts w:ascii="Liberation Serif" w:eastAsia="Times New Roman" w:hAnsi="Liberation Serif" w:cs="Liberation Serif"/>
              </w:rPr>
              <w:t>о</w:t>
            </w:r>
            <w:proofErr w:type="gramEnd"/>
            <w:r w:rsidRPr="00D34AB1">
              <w:rPr>
                <w:rFonts w:ascii="Liberation Serif" w:eastAsia="Times New Roman" w:hAnsi="Liberation Serif" w:cs="Liberation Serif"/>
              </w:rPr>
              <w:t xml:space="preserve">бычно снабжено ручкой (например, T-образными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крыльчатыми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 захватами) на проксимальном конце и может иметь непроницаемые для рентгеновских лучей градуированные деления на рабочем конце, чтобы сделать его видимым в рентгеновских лучах. Изделие поставляется различных длин и обычно изготавливается из пластмассовых материалов. Это изделие разового использования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D34AB1" w:rsidRPr="00A643A7" w:rsidRDefault="00D34AB1" w:rsidP="00A643A7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284334" w:rsidRPr="00420B57" w:rsidTr="00D34AB1">
        <w:trPr>
          <w:jc w:val="center"/>
        </w:trPr>
        <w:tc>
          <w:tcPr>
            <w:tcW w:w="305" w:type="pct"/>
            <w:vAlign w:val="center"/>
          </w:tcPr>
          <w:p w:rsidR="00284334" w:rsidRDefault="00284334" w:rsidP="0089057F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4.2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284334" w:rsidRPr="00D34AB1" w:rsidRDefault="00284334" w:rsidP="00284334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</w:rPr>
              <w:t xml:space="preserve">комплектация: </w:t>
            </w:r>
            <w:proofErr w:type="spellStart"/>
            <w:r>
              <w:rPr>
                <w:rFonts w:ascii="Liberation Serif" w:eastAsia="Times New Roman" w:hAnsi="Liberation Serif" w:cs="Liberation Serif"/>
              </w:rPr>
              <w:t>и</w:t>
            </w:r>
            <w:r w:rsidRPr="00284334">
              <w:rPr>
                <w:rFonts w:ascii="Liberation Serif" w:eastAsia="Times New Roman" w:hAnsi="Liberation Serif" w:cs="Liberation Serif"/>
              </w:rPr>
              <w:t>нтродьюсер</w:t>
            </w:r>
            <w:proofErr w:type="spellEnd"/>
            <w:r>
              <w:rPr>
                <w:rFonts w:ascii="Liberation Serif" w:eastAsia="Times New Roman" w:hAnsi="Liberation Serif" w:cs="Liberation Serif"/>
              </w:rPr>
              <w:t>, ш</w:t>
            </w:r>
            <w:r w:rsidRPr="00284334">
              <w:rPr>
                <w:rFonts w:ascii="Liberation Serif" w:eastAsia="Times New Roman" w:hAnsi="Liberation Serif" w:cs="Liberation Serif"/>
              </w:rPr>
              <w:t>приц</w:t>
            </w:r>
            <w:r>
              <w:rPr>
                <w:rFonts w:ascii="Liberation Serif" w:eastAsia="Times New Roman" w:hAnsi="Liberation Serif" w:cs="Liberation Serif"/>
              </w:rPr>
              <w:t>, и</w:t>
            </w:r>
            <w:r w:rsidRPr="00284334">
              <w:rPr>
                <w:rFonts w:ascii="Liberation Serif" w:eastAsia="Times New Roman" w:hAnsi="Liberation Serif" w:cs="Liberation Serif"/>
              </w:rPr>
              <w:t>гла</w:t>
            </w:r>
            <w:r>
              <w:rPr>
                <w:rFonts w:ascii="Liberation Serif" w:eastAsia="Times New Roman" w:hAnsi="Liberation Serif" w:cs="Liberation Serif"/>
              </w:rPr>
              <w:t>, проводник (струна), д</w:t>
            </w:r>
            <w:r w:rsidRPr="00284334">
              <w:rPr>
                <w:rFonts w:ascii="Liberation Serif" w:eastAsia="Times New Roman" w:hAnsi="Liberation Serif" w:cs="Liberation Serif"/>
              </w:rPr>
              <w:t>илататор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</w:t>
            </w:r>
          </w:p>
        </w:tc>
      </w:tr>
      <w:tr w:rsidR="00284334" w:rsidRPr="00420B57" w:rsidTr="00D34AB1">
        <w:trPr>
          <w:jc w:val="center"/>
        </w:trPr>
        <w:tc>
          <w:tcPr>
            <w:tcW w:w="305" w:type="pct"/>
            <w:vAlign w:val="center"/>
          </w:tcPr>
          <w:p w:rsidR="00284334" w:rsidRDefault="00284334" w:rsidP="0089057F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4.3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>Диаметр, Френч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10</w:t>
            </w:r>
          </w:p>
        </w:tc>
      </w:tr>
      <w:tr w:rsidR="00284334" w:rsidRPr="00420B57" w:rsidTr="00D34AB1">
        <w:trPr>
          <w:jc w:val="center"/>
        </w:trPr>
        <w:tc>
          <w:tcPr>
            <w:tcW w:w="305" w:type="pct"/>
            <w:vAlign w:val="center"/>
          </w:tcPr>
          <w:p w:rsidR="00284334" w:rsidRDefault="00284334" w:rsidP="0089057F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4.4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Тип 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Разрывной</w:t>
            </w:r>
          </w:p>
        </w:tc>
      </w:tr>
      <w:tr w:rsidR="00284334" w:rsidRPr="00420B57" w:rsidTr="00D34AB1">
        <w:trPr>
          <w:jc w:val="center"/>
        </w:trPr>
        <w:tc>
          <w:tcPr>
            <w:tcW w:w="305" w:type="pct"/>
            <w:vAlign w:val="center"/>
          </w:tcPr>
          <w:p w:rsidR="00284334" w:rsidRDefault="00284334" w:rsidP="0089057F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4.5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Длина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интродьюсера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>, см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менее 13</w:t>
            </w:r>
          </w:p>
        </w:tc>
      </w:tr>
      <w:tr w:rsidR="00284334" w:rsidRPr="00420B57" w:rsidTr="00D34AB1">
        <w:trPr>
          <w:jc w:val="center"/>
        </w:trPr>
        <w:tc>
          <w:tcPr>
            <w:tcW w:w="305" w:type="pct"/>
            <w:vAlign w:val="center"/>
          </w:tcPr>
          <w:p w:rsidR="00284334" w:rsidRDefault="00284334" w:rsidP="00420B57">
            <w:pPr>
              <w:spacing w:after="0" w:line="240" w:lineRule="auto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4.6</w:t>
            </w:r>
          </w:p>
        </w:tc>
        <w:tc>
          <w:tcPr>
            <w:tcW w:w="3678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line="240" w:lineRule="auto"/>
              <w:contextualSpacing/>
              <w:rPr>
                <w:rFonts w:ascii="Liberation Serif" w:eastAsia="Times New Roman" w:hAnsi="Liberation Serif" w:cs="Liberation Serif"/>
              </w:rPr>
            </w:pPr>
            <w:r w:rsidRPr="00D34AB1">
              <w:rPr>
                <w:rFonts w:ascii="Liberation Serif" w:eastAsia="Times New Roman" w:hAnsi="Liberation Serif" w:cs="Liberation Serif"/>
              </w:rPr>
              <w:t xml:space="preserve">Диаметр иглы, </w:t>
            </w:r>
            <w:proofErr w:type="spellStart"/>
            <w:r w:rsidRPr="00D34AB1">
              <w:rPr>
                <w:rFonts w:ascii="Liberation Serif" w:eastAsia="Times New Roman" w:hAnsi="Liberation Serif" w:cs="Liberation Serif"/>
              </w:rPr>
              <w:t>Гейдж</w:t>
            </w:r>
            <w:proofErr w:type="spellEnd"/>
            <w:r w:rsidRPr="00D34AB1">
              <w:rPr>
                <w:rFonts w:ascii="Liberation Serif" w:eastAsia="Times New Roman" w:hAnsi="Liberation Serif" w:cs="Liberation Serif"/>
              </w:rPr>
              <w:t xml:space="preserve"> (G)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284334" w:rsidRPr="00D34AB1" w:rsidRDefault="00284334" w:rsidP="00D34AB1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D34AB1">
              <w:rPr>
                <w:rFonts w:ascii="Liberation Serif" w:hAnsi="Liberation Serif" w:cs="Liberation Serif"/>
              </w:rPr>
              <w:t>Не более 18</w:t>
            </w:r>
          </w:p>
        </w:tc>
      </w:tr>
    </w:tbl>
    <w:p w:rsidR="00E10F2D" w:rsidRDefault="00E10F2D" w:rsidP="005673B9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b/>
        </w:rPr>
      </w:pPr>
    </w:p>
    <w:p w:rsidR="005673B9" w:rsidRPr="005673B9" w:rsidRDefault="005673B9" w:rsidP="005673B9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  <w:r w:rsidRPr="00E10F2D">
        <w:rPr>
          <w:rFonts w:ascii="Liberation Serif" w:eastAsia="Times New Roman" w:hAnsi="Liberation Serif" w:cs="Times New Roman"/>
          <w:b/>
          <w:lang w:eastAsia="ru-RU"/>
        </w:rPr>
        <w:t xml:space="preserve">3. </w:t>
      </w:r>
      <w:r w:rsidRPr="00E10F2D">
        <w:rPr>
          <w:rFonts w:ascii="Liberation Serif" w:eastAsia="Times New Roman" w:hAnsi="Liberation Serif" w:cs="Times New Roman"/>
          <w:b/>
          <w:bCs/>
          <w:iCs/>
          <w:lang w:eastAsia="ru-RU"/>
        </w:rPr>
        <w:t>Место поставки товара:</w:t>
      </w:r>
      <w:r w:rsidRPr="005673B9">
        <w:rPr>
          <w:rFonts w:ascii="Liberation Serif" w:eastAsia="Times New Roman" w:hAnsi="Liberation Serif" w:cs="Times New Roman"/>
          <w:bCs/>
          <w:iCs/>
          <w:lang w:eastAsia="ru-RU"/>
        </w:rPr>
        <w:t xml:space="preserve"> </w:t>
      </w:r>
      <w:r w:rsidRPr="005673B9">
        <w:rPr>
          <w:rFonts w:ascii="Liberation Serif" w:eastAsia="Times New Roman" w:hAnsi="Liberation Serif" w:cs="Times New Roman"/>
          <w:lang w:eastAsia="ru-RU"/>
        </w:rPr>
        <w:t xml:space="preserve">РФ, Свердловская область, г. Нижний Тагил, ул. Солнечная, здание 1, корпус 1 (терапевтический корпус ГАУЗ СО «ГБ № </w:t>
      </w:r>
      <w:smartTag w:uri="urn:schemas-microsoft-com:office:smarttags" w:element="metricconverter">
        <w:smartTagPr>
          <w:attr w:name="ProductID" w:val="4 г"/>
        </w:smartTagPr>
        <w:r w:rsidRPr="005673B9">
          <w:rPr>
            <w:rFonts w:ascii="Liberation Serif" w:eastAsia="Times New Roman" w:hAnsi="Liberation Serif" w:cs="Times New Roman"/>
            <w:lang w:eastAsia="ru-RU"/>
          </w:rPr>
          <w:t>4 г</w:t>
        </w:r>
      </w:smartTag>
      <w:r w:rsidRPr="005673B9">
        <w:rPr>
          <w:rFonts w:ascii="Liberation Serif" w:eastAsia="Times New Roman" w:hAnsi="Liberation Serif" w:cs="Times New Roman"/>
          <w:lang w:eastAsia="ru-RU"/>
        </w:rPr>
        <w:t>. Нижний Тагил»), 2-й этаж, отделение рентгенохирургических методов диагностики и лечения.</w:t>
      </w:r>
    </w:p>
    <w:p w:rsidR="005673B9" w:rsidRPr="005673B9" w:rsidRDefault="005673B9" w:rsidP="005673B9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ru-RU"/>
        </w:rPr>
      </w:pPr>
    </w:p>
    <w:p w:rsidR="003F4FA1" w:rsidRPr="005673B9" w:rsidRDefault="005673B9" w:rsidP="005673B9">
      <w:pPr>
        <w:spacing w:after="0" w:line="240" w:lineRule="auto"/>
        <w:jc w:val="both"/>
        <w:rPr>
          <w:rFonts w:ascii="Liberation Serif" w:hAnsi="Liberation Serif" w:cs="Times New Roman"/>
        </w:rPr>
      </w:pPr>
      <w:r w:rsidRPr="00E10F2D">
        <w:rPr>
          <w:rFonts w:ascii="Liberation Serif" w:eastAsia="Times New Roman" w:hAnsi="Liberation Serif" w:cs="Times New Roman"/>
          <w:b/>
          <w:lang w:eastAsia="ru-RU"/>
        </w:rPr>
        <w:t>4. Сроки (периоды) поставки товара:</w:t>
      </w:r>
      <w:r w:rsidRPr="005673B9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ED589F" w:rsidRPr="00ED589F">
        <w:rPr>
          <w:rFonts w:ascii="Liberation Serif" w:eastAsia="Times New Roman" w:hAnsi="Liberation Serif" w:cs="Times New Roman"/>
          <w:lang w:eastAsia="ru-RU"/>
        </w:rPr>
        <w:t xml:space="preserve"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по электронной почте, указанной в Договоре. Последняя поставка по Договору осуществляется Поставщиком не позднее </w:t>
      </w:r>
      <w:r w:rsidR="00BF1894" w:rsidRPr="00BF1894">
        <w:rPr>
          <w:rFonts w:ascii="Liberation Serif" w:eastAsia="Times New Roman" w:hAnsi="Liberation Serif" w:cs="Times New Roman"/>
          <w:lang w:eastAsia="ru-RU"/>
        </w:rPr>
        <w:t>15</w:t>
      </w:r>
      <w:r w:rsidR="00ED589F" w:rsidRPr="00BF1894">
        <w:rPr>
          <w:rFonts w:ascii="Liberation Serif" w:eastAsia="Times New Roman" w:hAnsi="Liberation Serif" w:cs="Times New Roman"/>
          <w:lang w:eastAsia="ru-RU"/>
        </w:rPr>
        <w:t>.</w:t>
      </w:r>
      <w:r w:rsidR="001056E8">
        <w:rPr>
          <w:rFonts w:ascii="Liberation Serif" w:eastAsia="Times New Roman" w:hAnsi="Liberation Serif" w:cs="Times New Roman"/>
          <w:lang w:eastAsia="ru-RU"/>
        </w:rPr>
        <w:t>09</w:t>
      </w:r>
      <w:bookmarkStart w:id="0" w:name="_GoBack"/>
      <w:bookmarkEnd w:id="0"/>
      <w:r w:rsidR="00ED589F" w:rsidRPr="00BF1894">
        <w:rPr>
          <w:rFonts w:ascii="Liberation Serif" w:eastAsia="Times New Roman" w:hAnsi="Liberation Serif" w:cs="Times New Roman"/>
          <w:lang w:eastAsia="ru-RU"/>
        </w:rPr>
        <w:t>.2023г.</w:t>
      </w:r>
    </w:p>
    <w:sectPr w:rsidR="003F4FA1" w:rsidRPr="005673B9" w:rsidSect="009878A8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209C4"/>
    <w:rsid w:val="000278A8"/>
    <w:rsid w:val="00030394"/>
    <w:rsid w:val="00033870"/>
    <w:rsid w:val="00047585"/>
    <w:rsid w:val="00053D60"/>
    <w:rsid w:val="0005680F"/>
    <w:rsid w:val="00057CBF"/>
    <w:rsid w:val="00065D87"/>
    <w:rsid w:val="000662CD"/>
    <w:rsid w:val="000730AD"/>
    <w:rsid w:val="00073773"/>
    <w:rsid w:val="0007594D"/>
    <w:rsid w:val="00081D2C"/>
    <w:rsid w:val="000857C4"/>
    <w:rsid w:val="000A1A57"/>
    <w:rsid w:val="000A250D"/>
    <w:rsid w:val="000A2A76"/>
    <w:rsid w:val="000B3373"/>
    <w:rsid w:val="000B412B"/>
    <w:rsid w:val="000B7EB4"/>
    <w:rsid w:val="000C5C7A"/>
    <w:rsid w:val="000D62E1"/>
    <w:rsid w:val="000E0051"/>
    <w:rsid w:val="000E0D2D"/>
    <w:rsid w:val="000E4D13"/>
    <w:rsid w:val="000E5E77"/>
    <w:rsid w:val="00102635"/>
    <w:rsid w:val="001056E8"/>
    <w:rsid w:val="00106348"/>
    <w:rsid w:val="00106F73"/>
    <w:rsid w:val="00110CA3"/>
    <w:rsid w:val="001123E0"/>
    <w:rsid w:val="00113566"/>
    <w:rsid w:val="00116C89"/>
    <w:rsid w:val="00121A3F"/>
    <w:rsid w:val="001222A3"/>
    <w:rsid w:val="0012423B"/>
    <w:rsid w:val="00127411"/>
    <w:rsid w:val="00133D79"/>
    <w:rsid w:val="0014135B"/>
    <w:rsid w:val="001445B1"/>
    <w:rsid w:val="001504A8"/>
    <w:rsid w:val="00155F5B"/>
    <w:rsid w:val="00161175"/>
    <w:rsid w:val="00183833"/>
    <w:rsid w:val="001868DA"/>
    <w:rsid w:val="00191A66"/>
    <w:rsid w:val="00197934"/>
    <w:rsid w:val="001A05EC"/>
    <w:rsid w:val="001B51A1"/>
    <w:rsid w:val="001C0491"/>
    <w:rsid w:val="001C185D"/>
    <w:rsid w:val="001C1AD0"/>
    <w:rsid w:val="001C2797"/>
    <w:rsid w:val="001C64E2"/>
    <w:rsid w:val="001D3F22"/>
    <w:rsid w:val="001E0460"/>
    <w:rsid w:val="001E1E41"/>
    <w:rsid w:val="001E2EE9"/>
    <w:rsid w:val="001E307E"/>
    <w:rsid w:val="001E30BB"/>
    <w:rsid w:val="001E3CE4"/>
    <w:rsid w:val="001F64CF"/>
    <w:rsid w:val="0021086D"/>
    <w:rsid w:val="00210EC4"/>
    <w:rsid w:val="0021125A"/>
    <w:rsid w:val="0021136F"/>
    <w:rsid w:val="0021393A"/>
    <w:rsid w:val="00216D9D"/>
    <w:rsid w:val="00217614"/>
    <w:rsid w:val="0022337A"/>
    <w:rsid w:val="00226610"/>
    <w:rsid w:val="00227ED3"/>
    <w:rsid w:val="00241583"/>
    <w:rsid w:val="00242A97"/>
    <w:rsid w:val="00246625"/>
    <w:rsid w:val="00251646"/>
    <w:rsid w:val="00252A92"/>
    <w:rsid w:val="00253989"/>
    <w:rsid w:val="00254A81"/>
    <w:rsid w:val="00255BC6"/>
    <w:rsid w:val="00256372"/>
    <w:rsid w:val="00264F18"/>
    <w:rsid w:val="002652B0"/>
    <w:rsid w:val="00273B81"/>
    <w:rsid w:val="00281929"/>
    <w:rsid w:val="00282FCC"/>
    <w:rsid w:val="00284334"/>
    <w:rsid w:val="00287556"/>
    <w:rsid w:val="0029266F"/>
    <w:rsid w:val="00293553"/>
    <w:rsid w:val="002A0089"/>
    <w:rsid w:val="002A3979"/>
    <w:rsid w:val="002D385C"/>
    <w:rsid w:val="002F06CD"/>
    <w:rsid w:val="002F184B"/>
    <w:rsid w:val="002F4A9E"/>
    <w:rsid w:val="003006B6"/>
    <w:rsid w:val="00300A43"/>
    <w:rsid w:val="00302110"/>
    <w:rsid w:val="003022CB"/>
    <w:rsid w:val="0031436B"/>
    <w:rsid w:val="00314BCA"/>
    <w:rsid w:val="00322788"/>
    <w:rsid w:val="003228BC"/>
    <w:rsid w:val="00326F7D"/>
    <w:rsid w:val="00335F81"/>
    <w:rsid w:val="00341AE6"/>
    <w:rsid w:val="003420B7"/>
    <w:rsid w:val="00366782"/>
    <w:rsid w:val="00366DB3"/>
    <w:rsid w:val="00367A19"/>
    <w:rsid w:val="00384344"/>
    <w:rsid w:val="003873F6"/>
    <w:rsid w:val="003922C5"/>
    <w:rsid w:val="003931AC"/>
    <w:rsid w:val="00396564"/>
    <w:rsid w:val="003A7093"/>
    <w:rsid w:val="003B3050"/>
    <w:rsid w:val="003D0222"/>
    <w:rsid w:val="003D13A2"/>
    <w:rsid w:val="003D6D36"/>
    <w:rsid w:val="003F204B"/>
    <w:rsid w:val="003F4FA1"/>
    <w:rsid w:val="003F790C"/>
    <w:rsid w:val="00400CDC"/>
    <w:rsid w:val="00420828"/>
    <w:rsid w:val="00420B57"/>
    <w:rsid w:val="0042210B"/>
    <w:rsid w:val="004261A4"/>
    <w:rsid w:val="00435749"/>
    <w:rsid w:val="00446B56"/>
    <w:rsid w:val="0044774A"/>
    <w:rsid w:val="00462963"/>
    <w:rsid w:val="0046315C"/>
    <w:rsid w:val="00463888"/>
    <w:rsid w:val="00466D52"/>
    <w:rsid w:val="00470FE9"/>
    <w:rsid w:val="004734CC"/>
    <w:rsid w:val="0047760A"/>
    <w:rsid w:val="0048049B"/>
    <w:rsid w:val="00497A91"/>
    <w:rsid w:val="004A1076"/>
    <w:rsid w:val="004A5EC4"/>
    <w:rsid w:val="004B502B"/>
    <w:rsid w:val="004C6EBA"/>
    <w:rsid w:val="004D24E7"/>
    <w:rsid w:val="004E3182"/>
    <w:rsid w:val="00507ADA"/>
    <w:rsid w:val="00514A1E"/>
    <w:rsid w:val="0052031C"/>
    <w:rsid w:val="00530B5E"/>
    <w:rsid w:val="005317A3"/>
    <w:rsid w:val="00535293"/>
    <w:rsid w:val="00541A40"/>
    <w:rsid w:val="00551C3E"/>
    <w:rsid w:val="00553A44"/>
    <w:rsid w:val="0056066B"/>
    <w:rsid w:val="005640D9"/>
    <w:rsid w:val="005673B9"/>
    <w:rsid w:val="00571CDB"/>
    <w:rsid w:val="005722B1"/>
    <w:rsid w:val="0057373C"/>
    <w:rsid w:val="005771F2"/>
    <w:rsid w:val="0057728A"/>
    <w:rsid w:val="00585344"/>
    <w:rsid w:val="00585705"/>
    <w:rsid w:val="00587C9F"/>
    <w:rsid w:val="005A0AC7"/>
    <w:rsid w:val="005A4F07"/>
    <w:rsid w:val="005C2885"/>
    <w:rsid w:val="005C37E1"/>
    <w:rsid w:val="005D3FF3"/>
    <w:rsid w:val="005D763E"/>
    <w:rsid w:val="005E162E"/>
    <w:rsid w:val="005E382C"/>
    <w:rsid w:val="005E6616"/>
    <w:rsid w:val="006021E0"/>
    <w:rsid w:val="00604CE2"/>
    <w:rsid w:val="00605205"/>
    <w:rsid w:val="00612989"/>
    <w:rsid w:val="00632B41"/>
    <w:rsid w:val="006331E4"/>
    <w:rsid w:val="0064583C"/>
    <w:rsid w:val="006502D4"/>
    <w:rsid w:val="00653829"/>
    <w:rsid w:val="00653AA2"/>
    <w:rsid w:val="00657A8F"/>
    <w:rsid w:val="006656D8"/>
    <w:rsid w:val="0067015A"/>
    <w:rsid w:val="00671E36"/>
    <w:rsid w:val="00674FCE"/>
    <w:rsid w:val="00691916"/>
    <w:rsid w:val="00694DBA"/>
    <w:rsid w:val="00696586"/>
    <w:rsid w:val="006A28E1"/>
    <w:rsid w:val="006B03BB"/>
    <w:rsid w:val="006B0DA0"/>
    <w:rsid w:val="006B4932"/>
    <w:rsid w:val="006B6CDF"/>
    <w:rsid w:val="006C1339"/>
    <w:rsid w:val="006C225D"/>
    <w:rsid w:val="006C44B8"/>
    <w:rsid w:val="006C6F69"/>
    <w:rsid w:val="006D0E68"/>
    <w:rsid w:val="006D6695"/>
    <w:rsid w:val="006E2AB5"/>
    <w:rsid w:val="006F3151"/>
    <w:rsid w:val="0070059F"/>
    <w:rsid w:val="00700CB2"/>
    <w:rsid w:val="00705B67"/>
    <w:rsid w:val="00713D7F"/>
    <w:rsid w:val="007330D0"/>
    <w:rsid w:val="00745C34"/>
    <w:rsid w:val="00751D75"/>
    <w:rsid w:val="00780D46"/>
    <w:rsid w:val="0078411A"/>
    <w:rsid w:val="0078436E"/>
    <w:rsid w:val="0079085E"/>
    <w:rsid w:val="00791C82"/>
    <w:rsid w:val="00796B52"/>
    <w:rsid w:val="007A2A03"/>
    <w:rsid w:val="007A6EE0"/>
    <w:rsid w:val="007A74D1"/>
    <w:rsid w:val="007B2A47"/>
    <w:rsid w:val="007B7600"/>
    <w:rsid w:val="007C5B3D"/>
    <w:rsid w:val="007C60EA"/>
    <w:rsid w:val="007D1E94"/>
    <w:rsid w:val="007E20C5"/>
    <w:rsid w:val="007E48C4"/>
    <w:rsid w:val="007F163B"/>
    <w:rsid w:val="007F25C4"/>
    <w:rsid w:val="007F375B"/>
    <w:rsid w:val="007F3EF8"/>
    <w:rsid w:val="008062DE"/>
    <w:rsid w:val="00806AD6"/>
    <w:rsid w:val="00813070"/>
    <w:rsid w:val="00817937"/>
    <w:rsid w:val="008237E8"/>
    <w:rsid w:val="00824E06"/>
    <w:rsid w:val="00826C67"/>
    <w:rsid w:val="00826D40"/>
    <w:rsid w:val="008301C4"/>
    <w:rsid w:val="00830E8C"/>
    <w:rsid w:val="008346EA"/>
    <w:rsid w:val="008418E5"/>
    <w:rsid w:val="00845DC2"/>
    <w:rsid w:val="00847DF4"/>
    <w:rsid w:val="00850DA0"/>
    <w:rsid w:val="008521ED"/>
    <w:rsid w:val="00853A8C"/>
    <w:rsid w:val="00854BC9"/>
    <w:rsid w:val="00857923"/>
    <w:rsid w:val="0086419C"/>
    <w:rsid w:val="008653F9"/>
    <w:rsid w:val="008666BA"/>
    <w:rsid w:val="0087077F"/>
    <w:rsid w:val="00874CCF"/>
    <w:rsid w:val="008779C9"/>
    <w:rsid w:val="0088355D"/>
    <w:rsid w:val="008854DF"/>
    <w:rsid w:val="00895E5C"/>
    <w:rsid w:val="008A1141"/>
    <w:rsid w:val="008A120E"/>
    <w:rsid w:val="008A773A"/>
    <w:rsid w:val="008B38E2"/>
    <w:rsid w:val="008B5B1F"/>
    <w:rsid w:val="008B7299"/>
    <w:rsid w:val="008C7E14"/>
    <w:rsid w:val="008D05BD"/>
    <w:rsid w:val="008D5032"/>
    <w:rsid w:val="008D7662"/>
    <w:rsid w:val="008E2ADE"/>
    <w:rsid w:val="008E2FC4"/>
    <w:rsid w:val="008F2116"/>
    <w:rsid w:val="008F2576"/>
    <w:rsid w:val="0090335F"/>
    <w:rsid w:val="00913C5C"/>
    <w:rsid w:val="00920BD6"/>
    <w:rsid w:val="00922F27"/>
    <w:rsid w:val="009342C6"/>
    <w:rsid w:val="00943652"/>
    <w:rsid w:val="009439E4"/>
    <w:rsid w:val="00946429"/>
    <w:rsid w:val="009474A5"/>
    <w:rsid w:val="00951484"/>
    <w:rsid w:val="0095172D"/>
    <w:rsid w:val="00953B18"/>
    <w:rsid w:val="00961375"/>
    <w:rsid w:val="0097097D"/>
    <w:rsid w:val="00985A9F"/>
    <w:rsid w:val="009878A8"/>
    <w:rsid w:val="00993CB9"/>
    <w:rsid w:val="009A0508"/>
    <w:rsid w:val="009A6419"/>
    <w:rsid w:val="009A710A"/>
    <w:rsid w:val="009B46A2"/>
    <w:rsid w:val="009C6381"/>
    <w:rsid w:val="009D1CD2"/>
    <w:rsid w:val="009D233D"/>
    <w:rsid w:val="009E3CFE"/>
    <w:rsid w:val="009E41CE"/>
    <w:rsid w:val="009E4DEC"/>
    <w:rsid w:val="009E6C61"/>
    <w:rsid w:val="009F4042"/>
    <w:rsid w:val="009F43B0"/>
    <w:rsid w:val="009F4580"/>
    <w:rsid w:val="009F4CF5"/>
    <w:rsid w:val="00A05624"/>
    <w:rsid w:val="00A12605"/>
    <w:rsid w:val="00A17BB8"/>
    <w:rsid w:val="00A22C4A"/>
    <w:rsid w:val="00A25E2C"/>
    <w:rsid w:val="00A27D77"/>
    <w:rsid w:val="00A30218"/>
    <w:rsid w:val="00A3774A"/>
    <w:rsid w:val="00A42E31"/>
    <w:rsid w:val="00A512EA"/>
    <w:rsid w:val="00A52839"/>
    <w:rsid w:val="00A643A7"/>
    <w:rsid w:val="00A670C6"/>
    <w:rsid w:val="00A84E2E"/>
    <w:rsid w:val="00A948C7"/>
    <w:rsid w:val="00A94C88"/>
    <w:rsid w:val="00A95F24"/>
    <w:rsid w:val="00A97A18"/>
    <w:rsid w:val="00AA5670"/>
    <w:rsid w:val="00AA73B0"/>
    <w:rsid w:val="00AB2FA9"/>
    <w:rsid w:val="00AB595A"/>
    <w:rsid w:val="00AB7298"/>
    <w:rsid w:val="00AC1447"/>
    <w:rsid w:val="00AC5539"/>
    <w:rsid w:val="00AD0187"/>
    <w:rsid w:val="00AD0A15"/>
    <w:rsid w:val="00AD23A5"/>
    <w:rsid w:val="00AD432D"/>
    <w:rsid w:val="00AE75BC"/>
    <w:rsid w:val="00AF0BBC"/>
    <w:rsid w:val="00B00C87"/>
    <w:rsid w:val="00B05165"/>
    <w:rsid w:val="00B123CD"/>
    <w:rsid w:val="00B14A8E"/>
    <w:rsid w:val="00B24ECE"/>
    <w:rsid w:val="00B30BBC"/>
    <w:rsid w:val="00B31C6D"/>
    <w:rsid w:val="00B328E3"/>
    <w:rsid w:val="00B32DFC"/>
    <w:rsid w:val="00B429D1"/>
    <w:rsid w:val="00B42E84"/>
    <w:rsid w:val="00B44BDB"/>
    <w:rsid w:val="00B53E84"/>
    <w:rsid w:val="00B54A29"/>
    <w:rsid w:val="00B622C7"/>
    <w:rsid w:val="00B64693"/>
    <w:rsid w:val="00B70C29"/>
    <w:rsid w:val="00B77CA4"/>
    <w:rsid w:val="00B80F90"/>
    <w:rsid w:val="00B817D0"/>
    <w:rsid w:val="00B910F9"/>
    <w:rsid w:val="00B9743F"/>
    <w:rsid w:val="00BA3C2B"/>
    <w:rsid w:val="00BA47A2"/>
    <w:rsid w:val="00BB20DE"/>
    <w:rsid w:val="00BB48EB"/>
    <w:rsid w:val="00BB5AF4"/>
    <w:rsid w:val="00BC1C06"/>
    <w:rsid w:val="00BC23C9"/>
    <w:rsid w:val="00BD091F"/>
    <w:rsid w:val="00BD0DA4"/>
    <w:rsid w:val="00BD20F5"/>
    <w:rsid w:val="00BE08A0"/>
    <w:rsid w:val="00BE66ED"/>
    <w:rsid w:val="00BE6DC1"/>
    <w:rsid w:val="00BF0C3D"/>
    <w:rsid w:val="00BF1894"/>
    <w:rsid w:val="00C10ED6"/>
    <w:rsid w:val="00C15F3F"/>
    <w:rsid w:val="00C228DD"/>
    <w:rsid w:val="00C2342D"/>
    <w:rsid w:val="00C2376A"/>
    <w:rsid w:val="00C24691"/>
    <w:rsid w:val="00C252DD"/>
    <w:rsid w:val="00C30EFF"/>
    <w:rsid w:val="00C36B2A"/>
    <w:rsid w:val="00C377C6"/>
    <w:rsid w:val="00C414F9"/>
    <w:rsid w:val="00C44C86"/>
    <w:rsid w:val="00C51792"/>
    <w:rsid w:val="00C551E8"/>
    <w:rsid w:val="00C6256A"/>
    <w:rsid w:val="00C70BB9"/>
    <w:rsid w:val="00C8538F"/>
    <w:rsid w:val="00C87400"/>
    <w:rsid w:val="00C9065B"/>
    <w:rsid w:val="00C92C3C"/>
    <w:rsid w:val="00CB0166"/>
    <w:rsid w:val="00CB0E0A"/>
    <w:rsid w:val="00CB1EB7"/>
    <w:rsid w:val="00CB34AD"/>
    <w:rsid w:val="00CC21F3"/>
    <w:rsid w:val="00CC2316"/>
    <w:rsid w:val="00CD34AA"/>
    <w:rsid w:val="00CE06F5"/>
    <w:rsid w:val="00CE2A81"/>
    <w:rsid w:val="00CF37FA"/>
    <w:rsid w:val="00D02A6B"/>
    <w:rsid w:val="00D07623"/>
    <w:rsid w:val="00D11168"/>
    <w:rsid w:val="00D14271"/>
    <w:rsid w:val="00D22ECA"/>
    <w:rsid w:val="00D24310"/>
    <w:rsid w:val="00D2573B"/>
    <w:rsid w:val="00D2650A"/>
    <w:rsid w:val="00D334F6"/>
    <w:rsid w:val="00D3353D"/>
    <w:rsid w:val="00D34AB1"/>
    <w:rsid w:val="00D3628F"/>
    <w:rsid w:val="00D41F10"/>
    <w:rsid w:val="00D46632"/>
    <w:rsid w:val="00D4685B"/>
    <w:rsid w:val="00D50420"/>
    <w:rsid w:val="00D56369"/>
    <w:rsid w:val="00D8051A"/>
    <w:rsid w:val="00D82784"/>
    <w:rsid w:val="00D8354C"/>
    <w:rsid w:val="00D915F4"/>
    <w:rsid w:val="00DA2896"/>
    <w:rsid w:val="00DA5D4B"/>
    <w:rsid w:val="00DB0515"/>
    <w:rsid w:val="00DB204A"/>
    <w:rsid w:val="00DB5B1E"/>
    <w:rsid w:val="00DC3879"/>
    <w:rsid w:val="00DD77D8"/>
    <w:rsid w:val="00DE3FB3"/>
    <w:rsid w:val="00DF4BED"/>
    <w:rsid w:val="00E05BF8"/>
    <w:rsid w:val="00E10F2D"/>
    <w:rsid w:val="00E42D0B"/>
    <w:rsid w:val="00E44375"/>
    <w:rsid w:val="00E4751F"/>
    <w:rsid w:val="00E5467A"/>
    <w:rsid w:val="00E57433"/>
    <w:rsid w:val="00E576D9"/>
    <w:rsid w:val="00E66283"/>
    <w:rsid w:val="00E702B8"/>
    <w:rsid w:val="00E706F0"/>
    <w:rsid w:val="00E7076A"/>
    <w:rsid w:val="00E71326"/>
    <w:rsid w:val="00E750F9"/>
    <w:rsid w:val="00E762A7"/>
    <w:rsid w:val="00E91E46"/>
    <w:rsid w:val="00E93497"/>
    <w:rsid w:val="00E96BB3"/>
    <w:rsid w:val="00EA2635"/>
    <w:rsid w:val="00EA3FCE"/>
    <w:rsid w:val="00EA65BF"/>
    <w:rsid w:val="00EC13D3"/>
    <w:rsid w:val="00ED37D0"/>
    <w:rsid w:val="00ED3962"/>
    <w:rsid w:val="00ED412D"/>
    <w:rsid w:val="00ED589F"/>
    <w:rsid w:val="00ED7D8A"/>
    <w:rsid w:val="00EE1730"/>
    <w:rsid w:val="00EE364D"/>
    <w:rsid w:val="00EE4ED8"/>
    <w:rsid w:val="00EE5357"/>
    <w:rsid w:val="00EF3DDE"/>
    <w:rsid w:val="00F01811"/>
    <w:rsid w:val="00F176A9"/>
    <w:rsid w:val="00F26D14"/>
    <w:rsid w:val="00F30F72"/>
    <w:rsid w:val="00F31D36"/>
    <w:rsid w:val="00F45653"/>
    <w:rsid w:val="00F467E2"/>
    <w:rsid w:val="00F52619"/>
    <w:rsid w:val="00F53F6F"/>
    <w:rsid w:val="00F5622B"/>
    <w:rsid w:val="00F61448"/>
    <w:rsid w:val="00F637D3"/>
    <w:rsid w:val="00F666C9"/>
    <w:rsid w:val="00F71451"/>
    <w:rsid w:val="00F94313"/>
    <w:rsid w:val="00F95299"/>
    <w:rsid w:val="00FA62CF"/>
    <w:rsid w:val="00FA747D"/>
    <w:rsid w:val="00FB6852"/>
    <w:rsid w:val="00FC0271"/>
    <w:rsid w:val="00FD0988"/>
    <w:rsid w:val="00FD483E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1868D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A27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0DEC-BD08-4832-829C-C5DA7F4B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281</cp:revision>
  <cp:lastPrinted>2022-05-24T05:22:00Z</cp:lastPrinted>
  <dcterms:created xsi:type="dcterms:W3CDTF">2015-12-28T09:53:00Z</dcterms:created>
  <dcterms:modified xsi:type="dcterms:W3CDTF">2023-01-20T12:14:00Z</dcterms:modified>
</cp:coreProperties>
</file>