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4E33CA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4E33CA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642"/>
        <w:gridCol w:w="1726"/>
        <w:gridCol w:w="2618"/>
      </w:tblGrid>
      <w:tr w:rsidR="00DB56E7" w:rsidRPr="00ED30B5" w:rsidTr="00ED30B5">
        <w:trPr>
          <w:trHeight w:val="45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DB56E7" w:rsidRPr="00ED30B5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Единицы измерения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Количество единиц измерения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BA3220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Реагент  для определения </w:t>
            </w:r>
            <w:proofErr w:type="spellStart"/>
            <w:r w:rsidRPr="00BA3220">
              <w:rPr>
                <w:rFonts w:ascii="Liberation Serif" w:hAnsi="Liberation Serif"/>
                <w:sz w:val="21"/>
                <w:szCs w:val="21"/>
              </w:rPr>
              <w:t>протромбинового</w:t>
            </w:r>
            <w:proofErr w:type="spell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BA3220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BA3220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53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BA3220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Набор реагентов для </w:t>
            </w:r>
            <w:proofErr w:type="gramStart"/>
            <w:r w:rsidRPr="00BA3220">
              <w:rPr>
                <w:rFonts w:ascii="Liberation Serif" w:hAnsi="Liberation Serif"/>
                <w:sz w:val="21"/>
                <w:szCs w:val="21"/>
              </w:rPr>
              <w:t>определения</w:t>
            </w:r>
            <w:proofErr w:type="gram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активированного парциального </w:t>
            </w:r>
            <w:proofErr w:type="spellStart"/>
            <w:r w:rsidRPr="00BA3220">
              <w:rPr>
                <w:rFonts w:ascii="Liberation Serif" w:hAnsi="Liberation Serif"/>
                <w:sz w:val="21"/>
                <w:szCs w:val="21"/>
              </w:rPr>
              <w:t>тромбопластинового</w:t>
            </w:r>
            <w:proofErr w:type="spell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BA3220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20" w:rsidRPr="00D419E1" w:rsidRDefault="00BA3220" w:rsidP="00BA322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981006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Реагент для определения </w:t>
            </w:r>
            <w:proofErr w:type="spellStart"/>
            <w:r w:rsidRPr="00981006">
              <w:rPr>
                <w:rFonts w:ascii="Liberation Serif" w:hAnsi="Liberation Serif"/>
                <w:sz w:val="21"/>
                <w:szCs w:val="21"/>
              </w:rPr>
              <w:t>тромбинового</w:t>
            </w:r>
            <w:proofErr w:type="spellEnd"/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981006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981006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определения концентрации фибриногена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981006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981006" w:rsidRPr="00ED30B5" w:rsidTr="00BE625A">
        <w:trPr>
          <w:trHeight w:val="207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 w:cs="Arial"/>
                <w:sz w:val="21"/>
                <w:szCs w:val="21"/>
              </w:rPr>
              <w:t>Реагент для проведения контроля качества реагентов (норма)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981006" w:rsidRPr="00ED30B5" w:rsidTr="00BE625A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 w:cs="Arial"/>
                <w:sz w:val="21"/>
                <w:szCs w:val="21"/>
              </w:rPr>
              <w:t>Реагент для проведения контроля качества реагентов (патология)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981006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6" w:rsidRPr="00D419E1" w:rsidRDefault="00981006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>Кювета одноразовая</w:t>
            </w:r>
            <w:r w:rsidR="00406D03">
              <w:rPr>
                <w:rFonts w:ascii="Liberation Serif" w:hAnsi="Liberation Serif"/>
                <w:sz w:val="21"/>
                <w:szCs w:val="21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40000</w:t>
            </w:r>
          </w:p>
        </w:tc>
      </w:tr>
      <w:tr w:rsidR="00981006" w:rsidRPr="00ED30B5" w:rsidTr="006D04B7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Очищающий раствор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98100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981006" w:rsidRPr="00ED30B5" w:rsidTr="006D04B7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D-</w:t>
            </w:r>
            <w:proofErr w:type="spellStart"/>
            <w:r w:rsidRPr="0007451A">
              <w:rPr>
                <w:rFonts w:ascii="Liberation Serif" w:hAnsi="Liberation Serif"/>
                <w:sz w:val="21"/>
                <w:szCs w:val="21"/>
              </w:rPr>
              <w:t>димер</w:t>
            </w:r>
            <w:proofErr w:type="spellEnd"/>
            <w:r w:rsidRPr="0007451A">
              <w:rPr>
                <w:rFonts w:ascii="Liberation Serif" w:hAnsi="Liberation Serif"/>
                <w:sz w:val="21"/>
                <w:szCs w:val="21"/>
              </w:rPr>
              <w:t xml:space="preserve"> ИВД, набор, нефелометрический/турбидиметрический анализ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98100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</w:tr>
      <w:tr w:rsidR="00981006" w:rsidRPr="00ED30B5" w:rsidTr="006D04B7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ED30B5" w:rsidRDefault="00981006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D-</w:t>
            </w:r>
            <w:proofErr w:type="spellStart"/>
            <w:r w:rsidRPr="0007451A">
              <w:rPr>
                <w:rFonts w:ascii="Liberation Serif" w:hAnsi="Liberation Serif"/>
                <w:sz w:val="21"/>
                <w:szCs w:val="21"/>
              </w:rPr>
              <w:t>димер</w:t>
            </w:r>
            <w:proofErr w:type="spellEnd"/>
            <w:r w:rsidRPr="0007451A">
              <w:rPr>
                <w:rFonts w:ascii="Liberation Serif" w:hAnsi="Liberation Serif"/>
                <w:sz w:val="21"/>
                <w:szCs w:val="21"/>
              </w:rPr>
              <w:t xml:space="preserve"> ИВД, контрольный материал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07451A" w:rsidRDefault="00981006" w:rsidP="0098100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06" w:rsidRPr="00D419E1" w:rsidRDefault="00981006" w:rsidP="00D419E1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</w:tr>
    </w:tbl>
    <w:p w:rsidR="00C35383" w:rsidRPr="00F57CB3" w:rsidRDefault="00C35383" w:rsidP="00113566">
      <w:pPr>
        <w:spacing w:after="0" w:line="240" w:lineRule="auto"/>
        <w:rPr>
          <w:rFonts w:ascii="Liberation Serif" w:hAnsi="Liberation Serif" w:cs="Times New Roman"/>
          <w:b/>
        </w:rPr>
      </w:pPr>
    </w:p>
    <w:p w:rsidR="00CF4354" w:rsidRPr="000271EA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271EA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57CB3" w:rsidRDefault="00CF4354" w:rsidP="003C7A01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271E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994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410"/>
        <w:gridCol w:w="8047"/>
      </w:tblGrid>
      <w:tr w:rsidR="00250C09" w:rsidRPr="008700CB" w:rsidTr="00354315">
        <w:trPr>
          <w:trHeight w:val="77"/>
          <w:jc w:val="center"/>
        </w:trPr>
        <w:tc>
          <w:tcPr>
            <w:tcW w:w="537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410" w:type="dxa"/>
            <w:vAlign w:val="center"/>
          </w:tcPr>
          <w:p w:rsidR="00250C09" w:rsidRPr="008700CB" w:rsidRDefault="00250C09" w:rsidP="00421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8047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A11DFD" w:rsidRPr="008700CB" w:rsidTr="000E756E">
        <w:trPr>
          <w:trHeight w:val="6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A11DFD" w:rsidRPr="00D419E1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Реагент  для определения </w:t>
            </w:r>
            <w:proofErr w:type="spellStart"/>
            <w:r w:rsidRPr="00BA3220">
              <w:rPr>
                <w:rFonts w:ascii="Liberation Serif" w:hAnsi="Liberation Serif"/>
                <w:sz w:val="21"/>
                <w:szCs w:val="21"/>
              </w:rPr>
              <w:t>протромбинового</w:t>
            </w:r>
            <w:proofErr w:type="spell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47" w:type="dxa"/>
          </w:tcPr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Набор предназначен для оценки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протром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би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но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во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го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времени сверты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ва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ния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автоматическом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лометре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. Определение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протромбино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вого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ме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ни исполь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зуется для тестирования факторов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про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тром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би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но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вого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комплекса (II - прот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ром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би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на, V, VII, X) и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контроля за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ле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че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нием антикоагу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лян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тами не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прямого действия.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Состав набора: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1. лиофильно высушенная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тромбопластин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-ка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ль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циевая смесь, на не менее  5 мл -  не менее 10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Международный индекс чувствительности (МИЧ) не более 1,3.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Набор рассчитан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не менее 250 тестов.</w:t>
            </w:r>
          </w:p>
          <w:p w:rsidR="00A11DFD" w:rsidRPr="00354315" w:rsidRDefault="00A11DFD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A11DFD" w:rsidRPr="00D419E1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Набор реагентов для </w:t>
            </w:r>
            <w:proofErr w:type="gramStart"/>
            <w:r w:rsidRPr="00BA3220">
              <w:rPr>
                <w:rFonts w:ascii="Liberation Serif" w:hAnsi="Liberation Serif"/>
                <w:sz w:val="21"/>
                <w:szCs w:val="21"/>
              </w:rPr>
              <w:t>определения</w:t>
            </w:r>
            <w:proofErr w:type="gram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активированного парциального </w:t>
            </w:r>
            <w:proofErr w:type="spellStart"/>
            <w:r w:rsidRPr="00BA3220">
              <w:rPr>
                <w:rFonts w:ascii="Liberation Serif" w:hAnsi="Liberation Serif"/>
                <w:sz w:val="21"/>
                <w:szCs w:val="21"/>
              </w:rPr>
              <w:t>тромбопластинового</w:t>
            </w:r>
            <w:proofErr w:type="spellEnd"/>
            <w:r w:rsidRPr="00BA3220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47" w:type="dxa"/>
          </w:tcPr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Набор  предназначен для выполнения базовой методики исследования сис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темы гемостаза - определения активированного парциального (частичного)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тромбопластинового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времени (АПТВ/АЧТВ)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автоматическом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.  Реагент должен поставляться в жидком виде, готовом к использованию. Определение АПТВ используется для оценки внутреннего пути свертывания плазмы крови.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Состав набора: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1. 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  <w:u w:val="single"/>
              </w:rPr>
              <w:t>АПТВ-Эл-реагент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</w:rPr>
              <w:t xml:space="preserve"> 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t>(жидкий реагент,  содержащий фосфоли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пиды,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элла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говую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кислоту, буфер и стабилизаторы), не менее  5 мл -  не менее 5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.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</w:rPr>
              <w:t xml:space="preserve">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i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2.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</w:rPr>
              <w:t xml:space="preserve"> 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  <w:u w:val="single"/>
              </w:rPr>
              <w:t xml:space="preserve">Кальция хлорид 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(0,025 М раствор), не менее 10 мл - не менее 5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.</w:t>
            </w:r>
            <w:r w:rsidRPr="00C14E08">
              <w:rPr>
                <w:rFonts w:ascii="Liberation Serif" w:hAnsi="Liberation Serif" w:cs="Arial"/>
                <w:i/>
                <w:sz w:val="20"/>
                <w:szCs w:val="20"/>
              </w:rPr>
              <w:t xml:space="preserve">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Стабильность АПТВ-Эл-реагента после вскрытия не менее 30 суток.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Набор рассчитан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не менее 250 тестов.</w:t>
            </w:r>
          </w:p>
          <w:p w:rsidR="00A11DFD" w:rsidRPr="00354315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A11DFD" w:rsidRPr="00D419E1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Реагент для определения </w:t>
            </w:r>
            <w:proofErr w:type="spellStart"/>
            <w:r w:rsidRPr="00981006">
              <w:rPr>
                <w:rFonts w:ascii="Liberation Serif" w:hAnsi="Liberation Serif"/>
                <w:sz w:val="21"/>
                <w:szCs w:val="21"/>
              </w:rPr>
              <w:t>тромбинового</w:t>
            </w:r>
            <w:proofErr w:type="spellEnd"/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 времени </w:t>
            </w:r>
          </w:p>
        </w:tc>
        <w:tc>
          <w:tcPr>
            <w:tcW w:w="8047" w:type="dxa"/>
          </w:tcPr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Набор предназначен для определения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тромбинового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вре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ме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ни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автоматическом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коагулометре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 Принцип метода. Заключается в определении време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ни свер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ты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вания плазмы крови под влиянием тромбина стан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дарт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ной ак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тив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ности.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Состав набора: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1. </w:t>
            </w:r>
            <w:r w:rsidRPr="00AC1FE3">
              <w:rPr>
                <w:rFonts w:ascii="Liberation Serif" w:hAnsi="Liberation Serif" w:cs="Arial"/>
                <w:i/>
                <w:sz w:val="20"/>
                <w:szCs w:val="20"/>
                <w:u w:val="single"/>
              </w:rPr>
              <w:t>Тромбин</w:t>
            </w:r>
            <w:r w:rsidRPr="00AC1FE3">
              <w:rPr>
                <w:rFonts w:ascii="Liberation Serif" w:hAnsi="Liberation Serif" w:cs="Arial"/>
                <w:i/>
                <w:sz w:val="20"/>
                <w:szCs w:val="20"/>
              </w:rPr>
              <w:t xml:space="preserve"> 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(лиофильно высушенный)- не менее 10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. 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Набор рассчитан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не менее 250 тестов.</w:t>
            </w:r>
          </w:p>
          <w:p w:rsidR="00A11DFD" w:rsidRPr="00354315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Совместим с используемым автоматическим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6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A11DFD" w:rsidRPr="00D419E1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 xml:space="preserve">Набор реагентов для определения концентрации фибриногена </w:t>
            </w:r>
          </w:p>
        </w:tc>
        <w:tc>
          <w:tcPr>
            <w:tcW w:w="8047" w:type="dxa"/>
          </w:tcPr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Набор предназначен для коли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чест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вен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ного определения фибриногена в плазме крови на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авто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мати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че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ском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коагулометре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, без предварительного разве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дения ис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>сле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дуемой плазмы (модифицированный метод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Clauss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). Стабильность после вскрытия не менее 30 суток при температуре +2...+8 С.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Линейность определения: 0,9-10,0 г/л (диапазонное значение). 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Состав набора: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i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1. </w:t>
            </w:r>
            <w:r w:rsidRPr="00AC1FE3">
              <w:rPr>
                <w:rFonts w:ascii="Liberation Serif" w:hAnsi="Liberation Serif" w:cs="Arial"/>
                <w:i/>
                <w:sz w:val="20"/>
                <w:szCs w:val="20"/>
                <w:u w:val="single"/>
              </w:rPr>
              <w:t>Тромбин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 (лиофильно высушенный реагент)  -  не менее  5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i/>
                <w:sz w:val="20"/>
                <w:szCs w:val="20"/>
              </w:rPr>
              <w:t>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2. </w:t>
            </w:r>
            <w:r w:rsidRPr="00AC1FE3">
              <w:rPr>
                <w:rFonts w:ascii="Liberation Serif" w:hAnsi="Liberation Serif" w:cs="Arial"/>
                <w:i/>
                <w:sz w:val="20"/>
                <w:szCs w:val="20"/>
                <w:u w:val="single"/>
              </w:rPr>
              <w:t>Растворитель для тромбина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, 10,5 мл  - не менее 5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Набор рассчитан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на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не менее  250 тестов.</w:t>
            </w:r>
          </w:p>
          <w:p w:rsidR="00A11DFD" w:rsidRPr="00354315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6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A11DFD" w:rsidRPr="0007451A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 w:cs="Arial"/>
                <w:sz w:val="21"/>
                <w:szCs w:val="21"/>
              </w:rPr>
              <w:t>Реагент для проведения контроля качества реагентов (норма)</w:t>
            </w:r>
          </w:p>
        </w:tc>
        <w:tc>
          <w:tcPr>
            <w:tcW w:w="8047" w:type="dxa"/>
          </w:tcPr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Реагент применяют для проведения контроля качества реагентов (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Quality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Control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), использующихся при исследовании системы гемостаза с помощью автоматического коагулометра. Реагент аттестован в нормальном диапазоне не менее чем по 6 параметрам: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АПТВ/АЧТВ;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протромбиновое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время;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международное нормализованное отношение (МНО);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показатель по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Квику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тромбиновое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время;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фибриноген (модифицированным методом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Клаусса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).</w:t>
            </w:r>
          </w:p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Контрольную плазму после разведения можно хранить при температуре +18... +25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°С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не менее 4 ч. Один фла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 xml:space="preserve">кон с контрольной плазмой рассчитан на не менее 10 определений при расходе раствора реагента по 0,1 мл на 1 определение.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Фасовка: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АК контроль Н (лиофильно высушенная контрольная плазма с нормальным диапазоном значений), на не менее 1 мл – не менее 2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A11DFD" w:rsidRPr="0007451A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 w:cs="Arial"/>
                <w:sz w:val="21"/>
                <w:szCs w:val="21"/>
              </w:rPr>
              <w:t>Реагент для проведения контроля качества реагентов (патология)</w:t>
            </w:r>
          </w:p>
        </w:tc>
        <w:tc>
          <w:tcPr>
            <w:tcW w:w="8047" w:type="dxa"/>
          </w:tcPr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Реагент применяют для проведения контроля качества реагентов (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Quality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Control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), использующихся при исследовании системы гемостаза с помощью автоматического коагулометра. Реагент аттестован в патологическом диапазоне не менее чем по 6 параметрам: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АПТВ/АЧТВ;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протромбиновое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время;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международное нормализованное отношение (МНО);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показатель по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Квику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тромбиновое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время;</w:t>
            </w:r>
          </w:p>
          <w:p w:rsidR="00A11DFD" w:rsidRPr="00C14E08" w:rsidRDefault="00A11DFD" w:rsidP="00AC1FE3">
            <w:pPr>
              <w:pStyle w:val="aa"/>
              <w:widowControl w:val="0"/>
              <w:spacing w:after="0"/>
              <w:ind w:left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фибриноген (модифицированным методом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Клаусса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).</w:t>
            </w:r>
          </w:p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Контрольную плазму после разведения можно хранить при температуре +18... +25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°С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не менее  4 ч. Один фла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oftHyphen/>
              <w:t>кон с контрольной плазмой рассчитан на не менее  10 определений при расходе раствора реагента по 0,1 мл на 1 определение.</w:t>
            </w:r>
          </w:p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Фасовка:</w:t>
            </w:r>
          </w:p>
          <w:p w:rsidR="00A11DFD" w:rsidRPr="00C14E08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АК контроль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П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(лиофильно высушенная контрольная плазма с патологическим диапазоном значений), на не менее 1 мл – не менее  2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A11DFD" w:rsidRPr="00981006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981006">
              <w:rPr>
                <w:rFonts w:ascii="Liberation Serif" w:hAnsi="Liberation Serif"/>
                <w:sz w:val="21"/>
                <w:szCs w:val="21"/>
              </w:rPr>
              <w:t>Кювета одноразовая</w:t>
            </w:r>
          </w:p>
          <w:p w:rsidR="00A11DFD" w:rsidRPr="00D419E1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7" w:type="dxa"/>
          </w:tcPr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Медицинское изделие.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Пластиковая прозрачная одноразовая кювета для размещения исследуемых образцов и проведения анализов.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Габаритные размеры: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высота кюветы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  <w:lang w:val="en-US"/>
              </w:rPr>
              <w:t>h</w:t>
            </w:r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  <w:vertAlign w:val="subscript"/>
              </w:rPr>
              <w:t xml:space="preserve">к,  - 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25,2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ym w:font="Symbol" w:char="F0B1"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0,1 мм 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диаметр кюветы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  <w:lang w:val="en-US"/>
              </w:rPr>
              <w:t>d</w:t>
            </w:r>
            <w:r w:rsidRPr="00C14E08">
              <w:rPr>
                <w:rFonts w:ascii="Liberation Serif" w:hAnsi="Liberation Serif" w:cs="Arial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 - 14</w:t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sym w:font="Symbol" w:char="F0B1"/>
            </w:r>
            <w:r w:rsidRPr="00C14E08">
              <w:rPr>
                <w:rFonts w:ascii="Liberation Serif" w:hAnsi="Liberation Serif" w:cs="Arial"/>
                <w:sz w:val="20"/>
                <w:szCs w:val="20"/>
              </w:rPr>
              <w:t>0,2 мм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- диаметр посадочный кюветы </w:t>
            </w:r>
            <w:proofErr w:type="gramStart"/>
            <w:r w:rsidRPr="00C14E08">
              <w:rPr>
                <w:rFonts w:ascii="Liberation Serif" w:hAnsi="Liberation Serif" w:cs="Arial"/>
                <w:sz w:val="20"/>
                <w:szCs w:val="20"/>
                <w:lang w:val="en-US"/>
              </w:rPr>
              <w:t>d</w:t>
            </w:r>
            <w:proofErr w:type="spellStart"/>
            <w:proofErr w:type="gramEnd"/>
            <w:r w:rsidRPr="00C14E08">
              <w:rPr>
                <w:rFonts w:ascii="Liberation Serif" w:hAnsi="Liberation Serif" w:cs="Arial"/>
                <w:sz w:val="20"/>
                <w:szCs w:val="20"/>
                <w:vertAlign w:val="subscript"/>
              </w:rPr>
              <w:t>пос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 - 11,3-0,1 мм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диаметр дна кюветы не менее 8,4мм</w:t>
            </w:r>
          </w:p>
          <w:p w:rsidR="00A11DFD" w:rsidRPr="00C14E08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>- диаметр измерительной части кюветы на высоте 2,5 мм от дна не менее 8,5 мм</w:t>
            </w:r>
          </w:p>
          <w:p w:rsidR="00A11DFD" w:rsidRPr="00354315" w:rsidRDefault="00A11DFD" w:rsidP="00C14E08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C14E08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C14E08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11DFD" w:rsidRPr="0007451A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Очищающий раствор</w:t>
            </w:r>
          </w:p>
        </w:tc>
        <w:tc>
          <w:tcPr>
            <w:tcW w:w="8047" w:type="dxa"/>
          </w:tcPr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Объём флакона 250мл (Из непрозрачного пластика для лучшей сохранности раствора)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Активный компонент – Натрий гипохлорит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в</w:t>
            </w:r>
            <w:proofErr w:type="gramEnd"/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концентрации ≤ 10%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lastRenderedPageBreak/>
              <w:t>Внешний вид – Прозрачный бесцветный, или желтоватого оттенка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Характеристика раствора –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Гипохлоритный</w:t>
            </w:r>
            <w:proofErr w:type="spellEnd"/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Срок годности, не менее 18 месяцев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Отметка на упаковке о дате изготовления</w:t>
            </w:r>
          </w:p>
          <w:p w:rsidR="00A11DFD" w:rsidRPr="00354315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Наличие на маркировке знаков по условиям хранения реагента в соответствии с </w:t>
            </w:r>
            <w:r w:rsidR="006477CB" w:rsidRPr="006477CB">
              <w:rPr>
                <w:rFonts w:ascii="Liberation Serif" w:hAnsi="Liberation Serif" w:cs="Arial"/>
                <w:sz w:val="20"/>
                <w:szCs w:val="20"/>
              </w:rPr>
              <w:t xml:space="preserve">ГОСТ </w:t>
            </w:r>
            <w:proofErr w:type="gramStart"/>
            <w:r w:rsidR="006477CB" w:rsidRPr="006477CB">
              <w:rPr>
                <w:rFonts w:ascii="Liberation Serif" w:hAnsi="Liberation Serif" w:cs="Arial"/>
                <w:sz w:val="20"/>
                <w:szCs w:val="20"/>
              </w:rPr>
              <w:t>Р</w:t>
            </w:r>
            <w:proofErr w:type="gramEnd"/>
            <w:r w:rsidR="006477CB" w:rsidRPr="006477CB">
              <w:rPr>
                <w:rFonts w:ascii="Liberation Serif" w:hAnsi="Liberation Serif" w:cs="Arial"/>
                <w:sz w:val="20"/>
                <w:szCs w:val="20"/>
              </w:rPr>
              <w:t xml:space="preserve"> ИСО 15223-1-2020</w:t>
            </w:r>
          </w:p>
        </w:tc>
      </w:tr>
      <w:tr w:rsidR="00A11DFD" w:rsidRPr="008700CB" w:rsidTr="000E756E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A11DFD" w:rsidRPr="0007451A" w:rsidRDefault="00A11DFD" w:rsidP="000E75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D-</w:t>
            </w:r>
            <w:proofErr w:type="spellStart"/>
            <w:r w:rsidRPr="0007451A">
              <w:rPr>
                <w:rFonts w:ascii="Liberation Serif" w:hAnsi="Liberation Serif"/>
                <w:sz w:val="21"/>
                <w:szCs w:val="21"/>
              </w:rPr>
              <w:t>димер</w:t>
            </w:r>
            <w:proofErr w:type="spellEnd"/>
            <w:r w:rsidRPr="0007451A">
              <w:rPr>
                <w:rFonts w:ascii="Liberation Serif" w:hAnsi="Liberation Serif"/>
                <w:sz w:val="21"/>
                <w:szCs w:val="21"/>
              </w:rPr>
              <w:t xml:space="preserve"> ИВД, набор, нефелометрический/турбидиметрический анализ</w:t>
            </w:r>
          </w:p>
        </w:tc>
        <w:tc>
          <w:tcPr>
            <w:tcW w:w="8047" w:type="dxa"/>
          </w:tcPr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и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других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димера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(D-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dimer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) в клиническом образце методом нефелометрического/турбидиметрического анализа. Назначение: для автоматической постановки.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Состав: 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br/>
              <w:t>1.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латексный реагент (суспензия латексных частиц, покрытых мышиными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моноклональными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антителами к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димеру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), 4 мл - не менее 4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br/>
              <w:t>2.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буфер, 7 мл – не менее 4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. 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br/>
              <w:t>3.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дилюент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, 7 мл 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>–н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е менее  2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</w:t>
            </w:r>
            <w:r w:rsidRPr="00AC1FE3">
              <w:rPr>
                <w:rFonts w:ascii="Liberation Serif" w:hAnsi="Liberation Serif" w:cs="Arial"/>
                <w:sz w:val="20"/>
                <w:szCs w:val="20"/>
              </w:rPr>
              <w:br/>
              <w:t>4.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калибратор (лиофильно высушенная плазма крови человека, обогащенная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димером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), на 1 мл – не менее 2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Чувствительность латексного реагента к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димеру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для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коагулометра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составляет не более 50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нг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/мл.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Стабильность после вскрытия суспензии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латексного реагента   при комнатной температуре (+18... +25 °С) не более двух недель и не более пяти недель – при температуре +2... +8 °С.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Назначение: количественное определение д-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димера</w:t>
            </w:r>
            <w:proofErr w:type="spellEnd"/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Количество выполняемых тестов:  ≥ 200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Совместим с используемым автоматическим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коагулометром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АК-37</w:t>
            </w:r>
          </w:p>
        </w:tc>
      </w:tr>
      <w:tr w:rsidR="00A11DFD" w:rsidRPr="008700CB" w:rsidTr="00981006">
        <w:trPr>
          <w:trHeight w:val="94"/>
          <w:jc w:val="center"/>
        </w:trPr>
        <w:tc>
          <w:tcPr>
            <w:tcW w:w="537" w:type="dxa"/>
            <w:vAlign w:val="center"/>
          </w:tcPr>
          <w:p w:rsidR="00A11DFD" w:rsidRPr="008700CB" w:rsidRDefault="00A11DFD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A11DFD" w:rsidRPr="0007451A" w:rsidRDefault="00A11DFD" w:rsidP="00BB696E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07451A">
              <w:rPr>
                <w:rFonts w:ascii="Liberation Serif" w:hAnsi="Liberation Serif"/>
                <w:sz w:val="21"/>
                <w:szCs w:val="21"/>
              </w:rPr>
              <w:t>D-</w:t>
            </w:r>
            <w:proofErr w:type="spellStart"/>
            <w:r w:rsidRPr="0007451A">
              <w:rPr>
                <w:rFonts w:ascii="Liberation Serif" w:hAnsi="Liberation Serif"/>
                <w:sz w:val="21"/>
                <w:szCs w:val="21"/>
              </w:rPr>
              <w:t>димер</w:t>
            </w:r>
            <w:proofErr w:type="spellEnd"/>
            <w:r w:rsidRPr="0007451A">
              <w:rPr>
                <w:rFonts w:ascii="Liberation Serif" w:hAnsi="Liberation Serif"/>
                <w:sz w:val="21"/>
                <w:szCs w:val="21"/>
              </w:rPr>
              <w:t xml:space="preserve"> ИВД, контрольный материал</w:t>
            </w:r>
          </w:p>
        </w:tc>
        <w:tc>
          <w:tcPr>
            <w:tcW w:w="8047" w:type="dxa"/>
          </w:tcPr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димера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(D-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dimer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) в клиническом образце. Назначение: Для анализаторов открытого типа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Состав: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1. Контрольная плазма (низкий уровень), на 1 мл – не менее 1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2. Контрольная плазма (высокий уровень), на 1 мл – не менее 1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фл</w:t>
            </w:r>
            <w:proofErr w:type="spellEnd"/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Контрольные плазмы после разведения допускается хранить при температуре +18... +25</w:t>
            </w:r>
            <w:proofErr w:type="gramStart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°С</w:t>
            </w:r>
            <w:proofErr w:type="gramEnd"/>
            <w:r w:rsidRPr="00AC1FE3">
              <w:rPr>
                <w:rFonts w:ascii="Liberation Serif" w:hAnsi="Liberation Serif" w:cs="Arial"/>
                <w:sz w:val="20"/>
                <w:szCs w:val="20"/>
              </w:rPr>
              <w:t xml:space="preserve"> не более 8 ч, при температуре +2... +8 °С – не более 5 </w:t>
            </w:r>
            <w:proofErr w:type="spellStart"/>
            <w:r w:rsidRPr="00AC1FE3">
              <w:rPr>
                <w:rFonts w:ascii="Liberation Serif" w:hAnsi="Liberation Serif" w:cs="Arial"/>
                <w:sz w:val="20"/>
                <w:szCs w:val="20"/>
              </w:rPr>
              <w:t>сут</w:t>
            </w:r>
            <w:proofErr w:type="spellEnd"/>
            <w:r w:rsidRPr="00AC1FE3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A11DFD" w:rsidRPr="00AC1FE3" w:rsidRDefault="00A11DFD" w:rsidP="00AC1FE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AC1FE3">
              <w:rPr>
                <w:rFonts w:ascii="Liberation Serif" w:hAnsi="Liberation Serif" w:cs="Arial"/>
                <w:sz w:val="20"/>
                <w:szCs w:val="20"/>
              </w:rPr>
              <w:t>Объем реагента: ≥ 2 Кубический сантиметр;^миллилитр</w:t>
            </w:r>
          </w:p>
        </w:tc>
      </w:tr>
    </w:tbl>
    <w:p w:rsidR="001347FE" w:rsidRPr="00F57CB3" w:rsidRDefault="001347FE" w:rsidP="00F57CB3">
      <w:pPr>
        <w:pStyle w:val="ConsPlusNormal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242A97" w:rsidRPr="004E33CA" w:rsidRDefault="00D8271B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4E33CA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область, г. Нижний Тагил, ул. Балакинская, зд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ание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22, корп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2, клинико-диагностическая лаборатория</w:t>
      </w:r>
      <w:r w:rsidR="00B123CD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B123CD" w:rsidRPr="004E33CA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D8271B" w:rsidP="008F5AF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3F4FA1" w:rsidRPr="004E33C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почте, указанной в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</w:t>
      </w:r>
      <w:r w:rsidR="007921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73311D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</w:t>
      </w:r>
      <w:r w:rsidR="00AC3753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AC1FE3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</w:t>
      </w:r>
      <w:r w:rsidR="005E033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</w:t>
      </w:r>
      <w:bookmarkStart w:id="0" w:name="_GoBack"/>
      <w:bookmarkEnd w:id="0"/>
      <w:r w:rsidR="00140C7B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.202</w:t>
      </w:r>
      <w:r w:rsidR="00160921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4</w:t>
      </w:r>
      <w:r w:rsidR="00FD1864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D42A29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15C"/>
    <w:multiLevelType w:val="hybridMultilevel"/>
    <w:tmpl w:val="A0B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7585"/>
    <w:rsid w:val="00053D60"/>
    <w:rsid w:val="00055901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D2567"/>
    <w:rsid w:val="000D62E1"/>
    <w:rsid w:val="000E0051"/>
    <w:rsid w:val="000E0D2D"/>
    <w:rsid w:val="000E4D13"/>
    <w:rsid w:val="000E5E77"/>
    <w:rsid w:val="000E756E"/>
    <w:rsid w:val="000F38E3"/>
    <w:rsid w:val="00104711"/>
    <w:rsid w:val="00106348"/>
    <w:rsid w:val="00106F73"/>
    <w:rsid w:val="00110CA3"/>
    <w:rsid w:val="00113566"/>
    <w:rsid w:val="0011680C"/>
    <w:rsid w:val="00116C89"/>
    <w:rsid w:val="00121A3F"/>
    <w:rsid w:val="001222A3"/>
    <w:rsid w:val="00133D79"/>
    <w:rsid w:val="001347FE"/>
    <w:rsid w:val="00140C7B"/>
    <w:rsid w:val="001445B1"/>
    <w:rsid w:val="001504A8"/>
    <w:rsid w:val="00154594"/>
    <w:rsid w:val="00154E9E"/>
    <w:rsid w:val="00160921"/>
    <w:rsid w:val="00161175"/>
    <w:rsid w:val="0018364A"/>
    <w:rsid w:val="00183833"/>
    <w:rsid w:val="001868DA"/>
    <w:rsid w:val="00191A66"/>
    <w:rsid w:val="00195006"/>
    <w:rsid w:val="00197934"/>
    <w:rsid w:val="001A05EC"/>
    <w:rsid w:val="001C0491"/>
    <w:rsid w:val="001C1AD0"/>
    <w:rsid w:val="001C2797"/>
    <w:rsid w:val="001C27E7"/>
    <w:rsid w:val="001C64E2"/>
    <w:rsid w:val="001D3F22"/>
    <w:rsid w:val="001E0460"/>
    <w:rsid w:val="001E2EE9"/>
    <w:rsid w:val="001E307E"/>
    <w:rsid w:val="001E3CE4"/>
    <w:rsid w:val="001E5C7B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34EEB"/>
    <w:rsid w:val="00242A97"/>
    <w:rsid w:val="00246625"/>
    <w:rsid w:val="00247CC1"/>
    <w:rsid w:val="00250C09"/>
    <w:rsid w:val="00251646"/>
    <w:rsid w:val="00252A92"/>
    <w:rsid w:val="002652B0"/>
    <w:rsid w:val="00273B81"/>
    <w:rsid w:val="00282FCC"/>
    <w:rsid w:val="00287556"/>
    <w:rsid w:val="00287818"/>
    <w:rsid w:val="0029747C"/>
    <w:rsid w:val="002A0089"/>
    <w:rsid w:val="002A10F7"/>
    <w:rsid w:val="002A3979"/>
    <w:rsid w:val="002B3E79"/>
    <w:rsid w:val="002B48C6"/>
    <w:rsid w:val="002B7A13"/>
    <w:rsid w:val="002D385C"/>
    <w:rsid w:val="002D6853"/>
    <w:rsid w:val="002F06CD"/>
    <w:rsid w:val="002F184B"/>
    <w:rsid w:val="002F4A9E"/>
    <w:rsid w:val="003006B6"/>
    <w:rsid w:val="003015D3"/>
    <w:rsid w:val="003022CB"/>
    <w:rsid w:val="00304460"/>
    <w:rsid w:val="00305271"/>
    <w:rsid w:val="0031436B"/>
    <w:rsid w:val="00314BCA"/>
    <w:rsid w:val="00322788"/>
    <w:rsid w:val="00335F81"/>
    <w:rsid w:val="00341AE6"/>
    <w:rsid w:val="003420B7"/>
    <w:rsid w:val="003471E3"/>
    <w:rsid w:val="00354315"/>
    <w:rsid w:val="00360EB0"/>
    <w:rsid w:val="00366782"/>
    <w:rsid w:val="00366DB3"/>
    <w:rsid w:val="00367A19"/>
    <w:rsid w:val="00381E12"/>
    <w:rsid w:val="00384344"/>
    <w:rsid w:val="00384484"/>
    <w:rsid w:val="003873F6"/>
    <w:rsid w:val="003922C5"/>
    <w:rsid w:val="00396564"/>
    <w:rsid w:val="00397900"/>
    <w:rsid w:val="003A7093"/>
    <w:rsid w:val="003B3050"/>
    <w:rsid w:val="003C7A01"/>
    <w:rsid w:val="003D0222"/>
    <w:rsid w:val="003D13A2"/>
    <w:rsid w:val="003D6D36"/>
    <w:rsid w:val="003F0854"/>
    <w:rsid w:val="003F204B"/>
    <w:rsid w:val="003F4FA1"/>
    <w:rsid w:val="003F790C"/>
    <w:rsid w:val="00400CDC"/>
    <w:rsid w:val="00406C7D"/>
    <w:rsid w:val="00406D03"/>
    <w:rsid w:val="004104F7"/>
    <w:rsid w:val="00417E11"/>
    <w:rsid w:val="00420828"/>
    <w:rsid w:val="004217BF"/>
    <w:rsid w:val="004237DA"/>
    <w:rsid w:val="004261A4"/>
    <w:rsid w:val="00431FDF"/>
    <w:rsid w:val="00435749"/>
    <w:rsid w:val="00446B56"/>
    <w:rsid w:val="004537DD"/>
    <w:rsid w:val="00463888"/>
    <w:rsid w:val="00470FE9"/>
    <w:rsid w:val="004734CC"/>
    <w:rsid w:val="00475D64"/>
    <w:rsid w:val="0047760A"/>
    <w:rsid w:val="00497A91"/>
    <w:rsid w:val="004A1076"/>
    <w:rsid w:val="004A459A"/>
    <w:rsid w:val="004A5EC4"/>
    <w:rsid w:val="004B502B"/>
    <w:rsid w:val="004C6EBA"/>
    <w:rsid w:val="004E33CA"/>
    <w:rsid w:val="004F3A52"/>
    <w:rsid w:val="004F7921"/>
    <w:rsid w:val="00507ADA"/>
    <w:rsid w:val="0051795F"/>
    <w:rsid w:val="0052031C"/>
    <w:rsid w:val="00530B5E"/>
    <w:rsid w:val="005317A3"/>
    <w:rsid w:val="00541531"/>
    <w:rsid w:val="00541A40"/>
    <w:rsid w:val="00551C3E"/>
    <w:rsid w:val="0056066B"/>
    <w:rsid w:val="00562D0B"/>
    <w:rsid w:val="005640D9"/>
    <w:rsid w:val="00571CDB"/>
    <w:rsid w:val="005722B1"/>
    <w:rsid w:val="0057306C"/>
    <w:rsid w:val="0057373C"/>
    <w:rsid w:val="00585344"/>
    <w:rsid w:val="00587C9F"/>
    <w:rsid w:val="00593AAF"/>
    <w:rsid w:val="005A0AC7"/>
    <w:rsid w:val="005A4F07"/>
    <w:rsid w:val="005B46AE"/>
    <w:rsid w:val="005C2885"/>
    <w:rsid w:val="005C37E1"/>
    <w:rsid w:val="005C5C4F"/>
    <w:rsid w:val="005D3FF3"/>
    <w:rsid w:val="005D763E"/>
    <w:rsid w:val="005E0338"/>
    <w:rsid w:val="005E382C"/>
    <w:rsid w:val="005E6616"/>
    <w:rsid w:val="00601E87"/>
    <w:rsid w:val="006021E0"/>
    <w:rsid w:val="00604CE2"/>
    <w:rsid w:val="006061A7"/>
    <w:rsid w:val="0061027B"/>
    <w:rsid w:val="00632B41"/>
    <w:rsid w:val="006331E4"/>
    <w:rsid w:val="00637FC1"/>
    <w:rsid w:val="006477CB"/>
    <w:rsid w:val="006502D4"/>
    <w:rsid w:val="00653AA2"/>
    <w:rsid w:val="00657A8F"/>
    <w:rsid w:val="0067015A"/>
    <w:rsid w:val="00671E36"/>
    <w:rsid w:val="00674FCE"/>
    <w:rsid w:val="00683CEC"/>
    <w:rsid w:val="00691916"/>
    <w:rsid w:val="00692988"/>
    <w:rsid w:val="00694DBA"/>
    <w:rsid w:val="00697C99"/>
    <w:rsid w:val="006B03BB"/>
    <w:rsid w:val="006B0DA0"/>
    <w:rsid w:val="006B4932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3D7F"/>
    <w:rsid w:val="007226BD"/>
    <w:rsid w:val="00732626"/>
    <w:rsid w:val="007330D0"/>
    <w:rsid w:val="0073311D"/>
    <w:rsid w:val="00741590"/>
    <w:rsid w:val="00745C34"/>
    <w:rsid w:val="00751D75"/>
    <w:rsid w:val="00765D6F"/>
    <w:rsid w:val="0076723D"/>
    <w:rsid w:val="00780D46"/>
    <w:rsid w:val="0078411A"/>
    <w:rsid w:val="0078436E"/>
    <w:rsid w:val="0079085E"/>
    <w:rsid w:val="00791C82"/>
    <w:rsid w:val="0079217D"/>
    <w:rsid w:val="007944CA"/>
    <w:rsid w:val="007A2A03"/>
    <w:rsid w:val="007A7A61"/>
    <w:rsid w:val="007B2A47"/>
    <w:rsid w:val="007B2AE2"/>
    <w:rsid w:val="007B7600"/>
    <w:rsid w:val="007C5B3D"/>
    <w:rsid w:val="007D1E94"/>
    <w:rsid w:val="007D6731"/>
    <w:rsid w:val="007E20C5"/>
    <w:rsid w:val="007E48C4"/>
    <w:rsid w:val="007F0735"/>
    <w:rsid w:val="007F1277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4826"/>
    <w:rsid w:val="008418E5"/>
    <w:rsid w:val="00845DC2"/>
    <w:rsid w:val="00847DF4"/>
    <w:rsid w:val="008521ED"/>
    <w:rsid w:val="00853A8C"/>
    <w:rsid w:val="00854BC9"/>
    <w:rsid w:val="0085540C"/>
    <w:rsid w:val="00855B0E"/>
    <w:rsid w:val="00857923"/>
    <w:rsid w:val="00860FD6"/>
    <w:rsid w:val="0086419C"/>
    <w:rsid w:val="008653F9"/>
    <w:rsid w:val="008666BA"/>
    <w:rsid w:val="008700CB"/>
    <w:rsid w:val="0087077F"/>
    <w:rsid w:val="00870BF2"/>
    <w:rsid w:val="00873B03"/>
    <w:rsid w:val="0088355D"/>
    <w:rsid w:val="008854DF"/>
    <w:rsid w:val="00891F5A"/>
    <w:rsid w:val="00895E5C"/>
    <w:rsid w:val="008A35D1"/>
    <w:rsid w:val="008A6BE5"/>
    <w:rsid w:val="008A773A"/>
    <w:rsid w:val="008A78E7"/>
    <w:rsid w:val="008B38E2"/>
    <w:rsid w:val="008B6B1A"/>
    <w:rsid w:val="008B7299"/>
    <w:rsid w:val="008C7F21"/>
    <w:rsid w:val="008D05BD"/>
    <w:rsid w:val="008D5032"/>
    <w:rsid w:val="008D7662"/>
    <w:rsid w:val="008E2FC4"/>
    <w:rsid w:val="008F2576"/>
    <w:rsid w:val="008F2BF1"/>
    <w:rsid w:val="008F5AFC"/>
    <w:rsid w:val="0090335F"/>
    <w:rsid w:val="00913C5C"/>
    <w:rsid w:val="00917430"/>
    <w:rsid w:val="0092181A"/>
    <w:rsid w:val="00922F27"/>
    <w:rsid w:val="00933CF4"/>
    <w:rsid w:val="009342C6"/>
    <w:rsid w:val="00943652"/>
    <w:rsid w:val="009439E4"/>
    <w:rsid w:val="009458B2"/>
    <w:rsid w:val="009474A5"/>
    <w:rsid w:val="00951484"/>
    <w:rsid w:val="00951589"/>
    <w:rsid w:val="009516E1"/>
    <w:rsid w:val="0095172D"/>
    <w:rsid w:val="00953B18"/>
    <w:rsid w:val="009610E6"/>
    <w:rsid w:val="00961375"/>
    <w:rsid w:val="0097097D"/>
    <w:rsid w:val="00970D0D"/>
    <w:rsid w:val="00980E33"/>
    <w:rsid w:val="00981006"/>
    <w:rsid w:val="00993CB9"/>
    <w:rsid w:val="009A0508"/>
    <w:rsid w:val="009A6419"/>
    <w:rsid w:val="009A6C31"/>
    <w:rsid w:val="009B46A2"/>
    <w:rsid w:val="009C2E14"/>
    <w:rsid w:val="009C6381"/>
    <w:rsid w:val="009D0C02"/>
    <w:rsid w:val="009E3E35"/>
    <w:rsid w:val="009E41CE"/>
    <w:rsid w:val="009E6C61"/>
    <w:rsid w:val="009F14B8"/>
    <w:rsid w:val="009F4042"/>
    <w:rsid w:val="009F43B0"/>
    <w:rsid w:val="009F687F"/>
    <w:rsid w:val="00A05624"/>
    <w:rsid w:val="00A06ABC"/>
    <w:rsid w:val="00A11DFD"/>
    <w:rsid w:val="00A12605"/>
    <w:rsid w:val="00A22C4A"/>
    <w:rsid w:val="00A25E2C"/>
    <w:rsid w:val="00A30218"/>
    <w:rsid w:val="00A375FB"/>
    <w:rsid w:val="00A3774A"/>
    <w:rsid w:val="00A42E31"/>
    <w:rsid w:val="00A4638F"/>
    <w:rsid w:val="00A512EA"/>
    <w:rsid w:val="00A5545D"/>
    <w:rsid w:val="00A64B53"/>
    <w:rsid w:val="00A80258"/>
    <w:rsid w:val="00A80AA6"/>
    <w:rsid w:val="00A826C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1FE3"/>
    <w:rsid w:val="00AC3753"/>
    <w:rsid w:val="00AC5539"/>
    <w:rsid w:val="00AD0187"/>
    <w:rsid w:val="00AD23A5"/>
    <w:rsid w:val="00AD432D"/>
    <w:rsid w:val="00AD58DE"/>
    <w:rsid w:val="00AE2BCD"/>
    <w:rsid w:val="00AE57F9"/>
    <w:rsid w:val="00AF0BBC"/>
    <w:rsid w:val="00AF296D"/>
    <w:rsid w:val="00B00C87"/>
    <w:rsid w:val="00B05165"/>
    <w:rsid w:val="00B057B1"/>
    <w:rsid w:val="00B123CD"/>
    <w:rsid w:val="00B24ECE"/>
    <w:rsid w:val="00B31C6D"/>
    <w:rsid w:val="00B328E3"/>
    <w:rsid w:val="00B32DFC"/>
    <w:rsid w:val="00B429D1"/>
    <w:rsid w:val="00B44BDB"/>
    <w:rsid w:val="00B53E84"/>
    <w:rsid w:val="00B5675C"/>
    <w:rsid w:val="00B567BF"/>
    <w:rsid w:val="00B622C7"/>
    <w:rsid w:val="00B64693"/>
    <w:rsid w:val="00B77CA4"/>
    <w:rsid w:val="00B827AE"/>
    <w:rsid w:val="00B84BF0"/>
    <w:rsid w:val="00B910F9"/>
    <w:rsid w:val="00B9743F"/>
    <w:rsid w:val="00BA3220"/>
    <w:rsid w:val="00BA3C2B"/>
    <w:rsid w:val="00BA47A2"/>
    <w:rsid w:val="00BB48EB"/>
    <w:rsid w:val="00BB739D"/>
    <w:rsid w:val="00BC1AEC"/>
    <w:rsid w:val="00BC23C9"/>
    <w:rsid w:val="00BC51A4"/>
    <w:rsid w:val="00BD091F"/>
    <w:rsid w:val="00BD20F5"/>
    <w:rsid w:val="00BE08A0"/>
    <w:rsid w:val="00BE59C3"/>
    <w:rsid w:val="00BE66ED"/>
    <w:rsid w:val="00BE7D05"/>
    <w:rsid w:val="00BF13BF"/>
    <w:rsid w:val="00BF3694"/>
    <w:rsid w:val="00C14E08"/>
    <w:rsid w:val="00C15F3F"/>
    <w:rsid w:val="00C228DD"/>
    <w:rsid w:val="00C2376A"/>
    <w:rsid w:val="00C24691"/>
    <w:rsid w:val="00C30EFF"/>
    <w:rsid w:val="00C35383"/>
    <w:rsid w:val="00C36B2A"/>
    <w:rsid w:val="00C414F9"/>
    <w:rsid w:val="00C44C86"/>
    <w:rsid w:val="00C44FFF"/>
    <w:rsid w:val="00C551E8"/>
    <w:rsid w:val="00C60513"/>
    <w:rsid w:val="00C6256A"/>
    <w:rsid w:val="00C70BB9"/>
    <w:rsid w:val="00C87400"/>
    <w:rsid w:val="00C92C3C"/>
    <w:rsid w:val="00CB0166"/>
    <w:rsid w:val="00CB0E0A"/>
    <w:rsid w:val="00CB1C02"/>
    <w:rsid w:val="00CB1EB7"/>
    <w:rsid w:val="00CC21F3"/>
    <w:rsid w:val="00CC2316"/>
    <w:rsid w:val="00CC286E"/>
    <w:rsid w:val="00CC2F8E"/>
    <w:rsid w:val="00CC33B9"/>
    <w:rsid w:val="00CD34AA"/>
    <w:rsid w:val="00CE2A81"/>
    <w:rsid w:val="00CF03C3"/>
    <w:rsid w:val="00CF37FA"/>
    <w:rsid w:val="00CF4354"/>
    <w:rsid w:val="00CF4518"/>
    <w:rsid w:val="00D07623"/>
    <w:rsid w:val="00D11168"/>
    <w:rsid w:val="00D14271"/>
    <w:rsid w:val="00D24310"/>
    <w:rsid w:val="00D2573B"/>
    <w:rsid w:val="00D2650A"/>
    <w:rsid w:val="00D3353D"/>
    <w:rsid w:val="00D35D7A"/>
    <w:rsid w:val="00D3628F"/>
    <w:rsid w:val="00D419E1"/>
    <w:rsid w:val="00D41F10"/>
    <w:rsid w:val="00D42A29"/>
    <w:rsid w:val="00D46632"/>
    <w:rsid w:val="00D52D80"/>
    <w:rsid w:val="00D56369"/>
    <w:rsid w:val="00D625E8"/>
    <w:rsid w:val="00D8051A"/>
    <w:rsid w:val="00D8271B"/>
    <w:rsid w:val="00D8354C"/>
    <w:rsid w:val="00D915F4"/>
    <w:rsid w:val="00DA5D4B"/>
    <w:rsid w:val="00DB0515"/>
    <w:rsid w:val="00DB204A"/>
    <w:rsid w:val="00DB56E7"/>
    <w:rsid w:val="00DB5B1E"/>
    <w:rsid w:val="00DB7644"/>
    <w:rsid w:val="00DD376E"/>
    <w:rsid w:val="00DD77D8"/>
    <w:rsid w:val="00DE3FB3"/>
    <w:rsid w:val="00DF4BED"/>
    <w:rsid w:val="00E037FB"/>
    <w:rsid w:val="00E05BF8"/>
    <w:rsid w:val="00E36A80"/>
    <w:rsid w:val="00E4136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85F80"/>
    <w:rsid w:val="00E94C08"/>
    <w:rsid w:val="00E96BB3"/>
    <w:rsid w:val="00EA65BF"/>
    <w:rsid w:val="00EC13D3"/>
    <w:rsid w:val="00EC7410"/>
    <w:rsid w:val="00ED30B5"/>
    <w:rsid w:val="00ED37D0"/>
    <w:rsid w:val="00ED3962"/>
    <w:rsid w:val="00ED7D8A"/>
    <w:rsid w:val="00EE1730"/>
    <w:rsid w:val="00EE364D"/>
    <w:rsid w:val="00EF2106"/>
    <w:rsid w:val="00EF3DDE"/>
    <w:rsid w:val="00F01811"/>
    <w:rsid w:val="00F1327C"/>
    <w:rsid w:val="00F176A9"/>
    <w:rsid w:val="00F23553"/>
    <w:rsid w:val="00F239FB"/>
    <w:rsid w:val="00F26D14"/>
    <w:rsid w:val="00F30F72"/>
    <w:rsid w:val="00F31D36"/>
    <w:rsid w:val="00F45653"/>
    <w:rsid w:val="00F467E2"/>
    <w:rsid w:val="00F53F6F"/>
    <w:rsid w:val="00F5622B"/>
    <w:rsid w:val="00F57CB3"/>
    <w:rsid w:val="00F61448"/>
    <w:rsid w:val="00F637D3"/>
    <w:rsid w:val="00F74E36"/>
    <w:rsid w:val="00F94313"/>
    <w:rsid w:val="00F95299"/>
    <w:rsid w:val="00FA19FB"/>
    <w:rsid w:val="00FA62CF"/>
    <w:rsid w:val="00FC1425"/>
    <w:rsid w:val="00FD0988"/>
    <w:rsid w:val="00FD1864"/>
    <w:rsid w:val="00FD483E"/>
    <w:rsid w:val="00FE2B69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character" w:styleId="a9">
    <w:name w:val="Strong"/>
    <w:basedOn w:val="a0"/>
    <w:uiPriority w:val="22"/>
    <w:qFormat/>
    <w:rsid w:val="008A35D1"/>
    <w:rPr>
      <w:b/>
      <w:bCs/>
    </w:rPr>
  </w:style>
  <w:style w:type="paragraph" w:customStyle="1" w:styleId="msonormalmailrucssattributepostfix">
    <w:name w:val="msonormal_mailru_css_attribute_postfix"/>
    <w:basedOn w:val="a"/>
    <w:rsid w:val="008A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8A35D1"/>
    <w:rPr>
      <w:vanish w:val="0"/>
      <w:webHidden w:val="0"/>
      <w:sz w:val="24"/>
      <w:szCs w:val="24"/>
      <w:specVanish w:val="0"/>
    </w:rPr>
  </w:style>
  <w:style w:type="paragraph" w:styleId="aa">
    <w:name w:val="Body Text Indent"/>
    <w:basedOn w:val="a"/>
    <w:link w:val="ab"/>
    <w:unhideWhenUsed/>
    <w:rsid w:val="00970D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70D0D"/>
  </w:style>
  <w:style w:type="paragraph" w:styleId="ac">
    <w:name w:val="List Paragraph"/>
    <w:basedOn w:val="a"/>
    <w:uiPriority w:val="34"/>
    <w:qFormat/>
    <w:rsid w:val="00DB56E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6412-0231-4160-836A-C7F1E389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2021-04-26T12:01:00Z</cp:lastPrinted>
  <dcterms:created xsi:type="dcterms:W3CDTF">2015-12-28T09:53:00Z</dcterms:created>
  <dcterms:modified xsi:type="dcterms:W3CDTF">2023-10-01T17:56:00Z</dcterms:modified>
</cp:coreProperties>
</file>