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99" w:type="dxa"/>
        <w:tblInd w:w="-1276" w:type="dxa"/>
        <w:tblLayout w:type="fixed"/>
        <w:tblLook w:val="04A0" w:firstRow="1" w:lastRow="0" w:firstColumn="1" w:lastColumn="0" w:noHBand="0" w:noVBand="1"/>
      </w:tblPr>
      <w:tblGrid>
        <w:gridCol w:w="503"/>
        <w:gridCol w:w="1704"/>
        <w:gridCol w:w="2046"/>
        <w:gridCol w:w="4678"/>
        <w:gridCol w:w="567"/>
        <w:gridCol w:w="960"/>
        <w:gridCol w:w="741"/>
      </w:tblGrid>
      <w:tr w:rsidR="00035F3E" w:rsidRPr="00035F3E" w:rsidTr="00035F3E">
        <w:trPr>
          <w:trHeight w:val="300"/>
        </w:trPr>
        <w:tc>
          <w:tcPr>
            <w:tcW w:w="111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3E" w:rsidRPr="00035F3E" w:rsidRDefault="00035F3E" w:rsidP="0003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Часть II. Описание предмета закупки</w:t>
            </w:r>
          </w:p>
        </w:tc>
      </w:tr>
      <w:tr w:rsidR="00035F3E" w:rsidRPr="00035F3E" w:rsidTr="00035F3E">
        <w:trPr>
          <w:trHeight w:val="3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F3E" w:rsidRPr="00035F3E" w:rsidRDefault="00035F3E" w:rsidP="0003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3E" w:rsidRPr="00035F3E" w:rsidRDefault="00035F3E" w:rsidP="0003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3E" w:rsidRPr="00035F3E" w:rsidRDefault="00035F3E" w:rsidP="0003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3E" w:rsidRPr="00035F3E" w:rsidRDefault="00035F3E" w:rsidP="0003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3E" w:rsidRPr="00035F3E" w:rsidRDefault="00035F3E" w:rsidP="0003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3E" w:rsidRPr="00035F3E" w:rsidRDefault="00035F3E" w:rsidP="0003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3E" w:rsidRPr="00035F3E" w:rsidRDefault="00035F3E" w:rsidP="0003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F3E" w:rsidRPr="00035F3E" w:rsidTr="00035F3E">
        <w:trPr>
          <w:trHeight w:val="51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3E" w:rsidRPr="00035F3E" w:rsidRDefault="00035F3E" w:rsidP="0003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5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3E" w:rsidRPr="00035F3E" w:rsidRDefault="00035F3E" w:rsidP="0003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5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7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5F3E" w:rsidRPr="00035F3E" w:rsidRDefault="00035F3E" w:rsidP="0003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5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Технические характеристики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3E" w:rsidRPr="00035F3E" w:rsidRDefault="00035F3E" w:rsidP="0003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5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3E" w:rsidRPr="00035F3E" w:rsidRDefault="00035F3E" w:rsidP="0003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5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</w:tr>
      <w:tr w:rsidR="00035F3E" w:rsidRPr="00035F3E" w:rsidTr="00035F3E">
        <w:trPr>
          <w:trHeight w:val="33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3E" w:rsidRPr="00035F3E" w:rsidRDefault="00035F3E" w:rsidP="0003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3E" w:rsidRPr="00035F3E" w:rsidRDefault="00035F3E" w:rsidP="0003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Компонент бедренный </w:t>
            </w:r>
          </w:p>
        </w:tc>
        <w:tc>
          <w:tcPr>
            <w:tcW w:w="7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5F3E" w:rsidRPr="00035F3E" w:rsidRDefault="00035F3E" w:rsidP="0003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 компонента: Стерильное имплантируемое изделие, предназначенное для замещения мыщелков бедренной кости (</w:t>
            </w:r>
            <w:proofErr w:type="spellStart"/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феморальный</w:t>
            </w:r>
            <w:proofErr w:type="spellEnd"/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компонент) при проведении первичной </w:t>
            </w:r>
            <w:proofErr w:type="spellStart"/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двумыщелковой</w:t>
            </w:r>
            <w:proofErr w:type="spellEnd"/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замены коленного сустава, резекции бедренной кости или при замене неработающего </w:t>
            </w:r>
            <w:proofErr w:type="spellStart"/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эндопротеза</w:t>
            </w:r>
            <w:proofErr w:type="spellEnd"/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коленного сустава (ревизии). Изделие должно изготавливаться из сплава кобальт-хром-молибден и не должно быть покрыто материалом, обеспечивающим улучшение фиксации и стабильности за счет способствования прорастанию кости. Изделие должно быть разработано для сочленения с </w:t>
            </w:r>
            <w:proofErr w:type="spellStart"/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тибиальным</w:t>
            </w:r>
            <w:proofErr w:type="spellEnd"/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и, при необходимости, </w:t>
            </w:r>
            <w:proofErr w:type="spellStart"/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пателлярным</w:t>
            </w:r>
            <w:proofErr w:type="spellEnd"/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компонентами </w:t>
            </w:r>
            <w:proofErr w:type="spellStart"/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эндопротеза</w:t>
            </w:r>
            <w:proofErr w:type="spellEnd"/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коленного сустава, имплантация проводится с использованием костного цемента.</w:t>
            </w:r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Тип фиксации: цементная.</w:t>
            </w:r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МРТ совместимость: совместим.</w:t>
            </w:r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Медиолатеральный размер: в диапазоне от 54 до 78 мм.</w:t>
            </w:r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Анатомическая форма: правая и левая.</w:t>
            </w:r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Расстояние между мыщелками клона: в диапазоне от 16 до 28 мм.</w:t>
            </w:r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Исполнение: Без сохранения задней крестообразной связки, с сохранением задней крестообразной связки.</w:t>
            </w:r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Материал: сплав кобальт-хром.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3E" w:rsidRPr="00035F3E" w:rsidRDefault="00035F3E" w:rsidP="0003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3E" w:rsidRPr="00035F3E" w:rsidRDefault="00035F3E" w:rsidP="0003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035F3E" w:rsidRPr="00035F3E" w:rsidTr="00035F3E">
        <w:trPr>
          <w:trHeight w:val="79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3E" w:rsidRPr="00035F3E" w:rsidRDefault="00035F3E" w:rsidP="0003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3E" w:rsidRPr="00035F3E" w:rsidRDefault="00035F3E" w:rsidP="0003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Компонент большеберцовый  </w:t>
            </w:r>
          </w:p>
        </w:tc>
        <w:tc>
          <w:tcPr>
            <w:tcW w:w="7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5F3E" w:rsidRPr="00035F3E" w:rsidRDefault="00035F3E" w:rsidP="0003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крепления: Фиксированный, защелкивающийся, должен иметь не менее пяти точек крепления.</w:t>
            </w:r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Материал: высокомолекулярный полиэтилен.</w:t>
            </w:r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Типоразмеры по высоте (толщина): в диапазоне от 9 до 17 мм.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3E" w:rsidRPr="00035F3E" w:rsidRDefault="00035F3E" w:rsidP="0003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3E" w:rsidRPr="00035F3E" w:rsidRDefault="00035F3E" w:rsidP="0003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035F3E" w:rsidRPr="00035F3E" w:rsidTr="00035F3E">
        <w:trPr>
          <w:trHeight w:val="18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3E" w:rsidRPr="00035F3E" w:rsidRDefault="00035F3E" w:rsidP="0003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3E" w:rsidRPr="00035F3E" w:rsidRDefault="00035F3E" w:rsidP="0003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Плато большеберцовое</w:t>
            </w:r>
          </w:p>
        </w:tc>
        <w:tc>
          <w:tcPr>
            <w:tcW w:w="7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5F3E" w:rsidRPr="00035F3E" w:rsidRDefault="00035F3E" w:rsidP="0003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МРТ совместимость: совместим.</w:t>
            </w:r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Тип фиксации: цементная.</w:t>
            </w:r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Материал: сплав кобальт-хром.</w:t>
            </w:r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Анатомическая форма: Левая и правая анатомические формы идентичны, находятся в одном </w:t>
            </w:r>
            <w:proofErr w:type="spellStart"/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типоразмерном</w:t>
            </w:r>
            <w:proofErr w:type="spellEnd"/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диапазоне. Компонент должен иметь </w:t>
            </w:r>
            <w:proofErr w:type="spellStart"/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килевидную</w:t>
            </w:r>
            <w:proofErr w:type="spellEnd"/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форму ножку с неполированной поверхностью. Верхняя поверхность основания должна быть неполированная.</w:t>
            </w:r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Переднезадний размер: в диапазоне от 40 до 59 мм.</w:t>
            </w:r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Медиолатеральный размер: в диапазоне от 59 мм до 79 мм.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3E" w:rsidRPr="00035F3E" w:rsidRDefault="00035F3E" w:rsidP="0003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3E" w:rsidRPr="00035F3E" w:rsidRDefault="00035F3E" w:rsidP="0003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035F3E" w:rsidRPr="00035F3E" w:rsidTr="00035F3E">
        <w:trPr>
          <w:trHeight w:val="289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3E" w:rsidRPr="00035F3E" w:rsidRDefault="00035F3E" w:rsidP="0003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3E" w:rsidRPr="00035F3E" w:rsidRDefault="00035F3E" w:rsidP="0003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Однополюсной протез</w:t>
            </w:r>
          </w:p>
        </w:tc>
        <w:tc>
          <w:tcPr>
            <w:tcW w:w="7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5F3E" w:rsidRPr="00035F3E" w:rsidRDefault="00035F3E" w:rsidP="0003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Форма </w:t>
            </w:r>
            <w:proofErr w:type="spellStart"/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эндопротеза</w:t>
            </w:r>
            <w:proofErr w:type="spellEnd"/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Классическая клиновидная форма, подходящая для установки в любой костномозговой канал. Конструкция ножки укороченная, без отверстий, с небольшим ребром по плоскости от шейки.</w:t>
            </w:r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Длина ножки </w:t>
            </w:r>
            <w:proofErr w:type="spellStart"/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эндопротеза</w:t>
            </w:r>
            <w:proofErr w:type="spellEnd"/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не менее 130 мм</w:t>
            </w:r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Размерный ряд головок в диапазоне от 40 мм до 50 мм включительно, шаг не менее 2 мм.</w:t>
            </w:r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Форма бедренной части (ножки) моноблока: классическая клиновидная форма, соответствующая анатомии канала бедренной кости и способствующая </w:t>
            </w:r>
            <w:proofErr w:type="spellStart"/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самоцентрации</w:t>
            </w:r>
            <w:proofErr w:type="spellEnd"/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эндопротеза</w:t>
            </w:r>
            <w:proofErr w:type="spellEnd"/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канале бедренной кости при его установке..</w:t>
            </w:r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Шеечно-диафизарный</w:t>
            </w:r>
            <w:proofErr w:type="spellEnd"/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угол не менее 137º</w:t>
            </w:r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Материал: сталь</w:t>
            </w:r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Способ фиксации: цементная</w:t>
            </w:r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Внутренняя часть </w:t>
            </w:r>
            <w:proofErr w:type="spellStart"/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субкапитального</w:t>
            </w:r>
            <w:proofErr w:type="spellEnd"/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пространства должна иметь выступ – «воротничок», обеспечивающий опорную стабильность </w:t>
            </w:r>
            <w:proofErr w:type="spellStart"/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эндопротеза</w:t>
            </w:r>
            <w:proofErr w:type="spellEnd"/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кортикальном слое, препятствует «проседанию» протеза и способствует равномерному распределению веса </w:t>
            </w:r>
            <w:proofErr w:type="spellStart"/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эндопротеза</w:t>
            </w:r>
            <w:proofErr w:type="spellEnd"/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3E" w:rsidRPr="00035F3E" w:rsidRDefault="00035F3E" w:rsidP="0003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3E" w:rsidRPr="00035F3E" w:rsidRDefault="00035F3E" w:rsidP="0003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035F3E" w:rsidRPr="00035F3E" w:rsidTr="00035F3E">
        <w:trPr>
          <w:trHeight w:val="169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3E" w:rsidRPr="00035F3E" w:rsidRDefault="00035F3E" w:rsidP="0003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3E" w:rsidRPr="00035F3E" w:rsidRDefault="00035F3E" w:rsidP="0003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Биполярный протез</w:t>
            </w:r>
          </w:p>
        </w:tc>
        <w:tc>
          <w:tcPr>
            <w:tcW w:w="7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5F3E" w:rsidRPr="00035F3E" w:rsidRDefault="00035F3E" w:rsidP="0003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Форма </w:t>
            </w:r>
            <w:proofErr w:type="spellStart"/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эндопротеза</w:t>
            </w:r>
            <w:proofErr w:type="spellEnd"/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Классическая клиновидная форма, подходящая для установки в любой костномозговой канал.</w:t>
            </w:r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Длина ножки </w:t>
            </w:r>
            <w:proofErr w:type="spellStart"/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эндопротеза</w:t>
            </w:r>
            <w:proofErr w:type="spellEnd"/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менее 140 мм. Несъемный </w:t>
            </w:r>
            <w:proofErr w:type="spellStart"/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полиэтеленовый</w:t>
            </w:r>
            <w:proofErr w:type="spellEnd"/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вкладыш: наличие. Размерный ряд головок в диапазоне от 37 до 55 мм, с шагом не менее 1 мм. Бедренная часть (ножка) моноблока классической клиновидной формы, соответствующей анатомии канала бедренной кости и способствующей </w:t>
            </w:r>
            <w:proofErr w:type="spellStart"/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самоцентрации</w:t>
            </w:r>
            <w:proofErr w:type="spellEnd"/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эндопротеза</w:t>
            </w:r>
            <w:proofErr w:type="spellEnd"/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канале бедренной кости при его установке: наличие.</w:t>
            </w:r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Сечение: четырехугольник, обеспечивающий ротационную стабильность при фиксации на кортикальном слое.</w:t>
            </w:r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На наружной части проксимального отдела имеется округлое техническое </w:t>
            </w:r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отверстие, облегчающее извлечение </w:t>
            </w:r>
            <w:proofErr w:type="spellStart"/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эндопротеза</w:t>
            </w:r>
            <w:proofErr w:type="spellEnd"/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 необходимости проведения ревизионного вмешательства: наличие. </w:t>
            </w:r>
            <w:proofErr w:type="spellStart"/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Шеечно-диафизарный</w:t>
            </w:r>
            <w:proofErr w:type="spellEnd"/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угол в диапазоне от 136 до 139 градусов.</w:t>
            </w:r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Материал ножки: AISI 316L//316LVM/ или аналогичный материал. Материал головки: AISI 316L//316LVM/ или аналогичный материал.</w:t>
            </w:r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Материал несъемного вкладыша: </w:t>
            </w:r>
            <w:proofErr w:type="spellStart"/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Сверхвысокомолекулярный</w:t>
            </w:r>
            <w:proofErr w:type="spellEnd"/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полиэтилен. Способ фиксации: цементный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3E" w:rsidRPr="00035F3E" w:rsidRDefault="00035F3E" w:rsidP="0003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шт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3E" w:rsidRPr="00035F3E" w:rsidRDefault="00035F3E" w:rsidP="0003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035F3E" w:rsidRPr="00035F3E" w:rsidTr="00035F3E">
        <w:trPr>
          <w:trHeight w:val="135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3E" w:rsidRPr="00035F3E" w:rsidRDefault="00035F3E" w:rsidP="0003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3E" w:rsidRPr="00035F3E" w:rsidRDefault="00035F3E" w:rsidP="0003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Винт канюлированный</w:t>
            </w:r>
          </w:p>
        </w:tc>
        <w:tc>
          <w:tcPr>
            <w:tcW w:w="7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5F3E" w:rsidRPr="00035F3E" w:rsidRDefault="00035F3E" w:rsidP="0003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Винт компрессионный должен быть изготовлен из сплава титана, разрешенного для имплантации на территории Российской Федерации. Винт компрессионный должен быть </w:t>
            </w:r>
            <w:proofErr w:type="spellStart"/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канюлированным</w:t>
            </w:r>
            <w:proofErr w:type="spellEnd"/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конец винта должен быть </w:t>
            </w:r>
            <w:proofErr w:type="spellStart"/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самосверлящим</w:t>
            </w:r>
            <w:proofErr w:type="spellEnd"/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самонарезающим. Конструкция винта должна быть </w:t>
            </w:r>
            <w:proofErr w:type="spellStart"/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бесшляпочной</w:t>
            </w:r>
            <w:proofErr w:type="spellEnd"/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Резьба должна быть по всей длине винта одного диаметра не более 2,7 мм с шагом, увеличивающимся к концу винта для обеспечения эффекта компрессии. Сердечник винта должен иметь коническое утолщение в основании. Шлиц должен быть шестигранный 1,8 мм.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3E" w:rsidRPr="00035F3E" w:rsidRDefault="00035F3E" w:rsidP="0003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3E" w:rsidRPr="00035F3E" w:rsidRDefault="00035F3E" w:rsidP="0003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035F3E" w:rsidRPr="00035F3E" w:rsidTr="00035F3E">
        <w:trPr>
          <w:trHeight w:val="243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5F3E" w:rsidRPr="00035F3E" w:rsidRDefault="00035F3E" w:rsidP="0003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5F3E" w:rsidRPr="00035F3E" w:rsidRDefault="00035F3E" w:rsidP="0003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фиксаторов наружных временных для остеосинтеза</w:t>
            </w:r>
          </w:p>
        </w:tc>
        <w:tc>
          <w:tcPr>
            <w:tcW w:w="7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5F3E" w:rsidRPr="00035F3E" w:rsidRDefault="00035F3E" w:rsidP="0003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Предназначен для оказания неотложной хирургической помощи и лечебно-транспортной иммобилизации с повреждениями костей конечностей и таза. Количество одномоментных наложений не менее 15. Время наложения модульной рамы не более 20 минут. Возможность фиксации </w:t>
            </w:r>
            <w:proofErr w:type="spellStart"/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диафизарных</w:t>
            </w:r>
            <w:proofErr w:type="spellEnd"/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дистальных, проксимальных, внутрисуставных переломов. Возможность создания комбинированных (спице-стержневых) систем (комбинация с компрессионно-дистракционным аппаратом </w:t>
            </w:r>
            <w:proofErr w:type="spellStart"/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Илизарова</w:t>
            </w:r>
            <w:proofErr w:type="spellEnd"/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Рентген-прозрачные несущие трубки. Самоудерживающие, зажимные системы, конструкция зажима обеспечивает фиксацию элементов вручную, без использования ключей. </w:t>
            </w:r>
            <w:proofErr w:type="spellStart"/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Самосверлящие</w:t>
            </w:r>
            <w:proofErr w:type="spellEnd"/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самонарезающие стержни. Возможность 3-х мерной репозиции, обеспечивает взаимное перемещение компонентов стержневого аппарата в диапазоне 360 градусов. Возможность коррекции отломков костей. Возможность подключения к силовому оборудованию. Материал изготовление зажимов: </w:t>
            </w:r>
            <w:proofErr w:type="spellStart"/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полиэфирэфиркет</w:t>
            </w:r>
            <w:proofErr w:type="spellEnd"/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он с содержанием карбона. Материал изготовления винтов Шанца: титановый сплав.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териал изготовления несущей штанги: карбон.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5F3E" w:rsidRPr="00035F3E" w:rsidRDefault="00035F3E" w:rsidP="0003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</w:t>
            </w:r>
            <w:proofErr w:type="spellEnd"/>
          </w:p>
        </w:tc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5F3E" w:rsidRPr="00035F3E" w:rsidRDefault="00035F3E" w:rsidP="0003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026B3" w:rsidRPr="00035F3E" w:rsidTr="00B52A92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6B3" w:rsidRPr="00035F3E" w:rsidRDefault="00A026B3" w:rsidP="00A02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6B3" w:rsidRPr="00035F3E" w:rsidRDefault="00A026B3" w:rsidP="00A02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26B3" w:rsidRPr="00035F3E" w:rsidRDefault="00A026B3" w:rsidP="00A02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поставки: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026B3" w:rsidRPr="00A026B3" w:rsidRDefault="00A026B3" w:rsidP="00A026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6B3">
              <w:rPr>
                <w:rFonts w:ascii="Times New Roman" w:hAnsi="Times New Roman" w:cs="Times New Roman"/>
                <w:color w:val="000000"/>
                <w:sz w:val="20"/>
              </w:rPr>
              <w:t>Зажим «штанга – винт Шанца»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026B3" w:rsidRPr="00A026B3" w:rsidRDefault="00A026B3" w:rsidP="00A026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6B3">
              <w:rPr>
                <w:rFonts w:ascii="Times New Roman" w:hAnsi="Times New Roman" w:cs="Times New Roman"/>
                <w:color w:val="000000"/>
                <w:sz w:val="20"/>
              </w:rPr>
              <w:t>58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6B3" w:rsidRPr="00035F3E" w:rsidRDefault="00A026B3" w:rsidP="00A02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6B3" w:rsidRPr="00035F3E" w:rsidRDefault="00A026B3" w:rsidP="00A02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26B3" w:rsidRPr="00035F3E" w:rsidTr="00A026B3">
        <w:trPr>
          <w:trHeight w:val="20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6B3" w:rsidRPr="00035F3E" w:rsidRDefault="00A026B3" w:rsidP="00A02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6B3" w:rsidRPr="00035F3E" w:rsidRDefault="00A026B3" w:rsidP="00A02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6B3" w:rsidRPr="00035F3E" w:rsidRDefault="00A026B3" w:rsidP="00A02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026B3" w:rsidRPr="00A026B3" w:rsidRDefault="00A026B3" w:rsidP="00A026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6B3">
              <w:rPr>
                <w:rFonts w:ascii="Times New Roman" w:hAnsi="Times New Roman" w:cs="Times New Roman"/>
                <w:color w:val="000000"/>
                <w:sz w:val="20"/>
              </w:rPr>
              <w:t>Зажим «штанга – штанга»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026B3" w:rsidRPr="00A026B3" w:rsidRDefault="00A026B3" w:rsidP="00A026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6B3">
              <w:rPr>
                <w:rFonts w:ascii="Times New Roman" w:hAnsi="Times New Roman" w:cs="Times New Roman"/>
                <w:color w:val="000000"/>
                <w:sz w:val="20"/>
              </w:rPr>
              <w:t>42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6B3" w:rsidRPr="00035F3E" w:rsidRDefault="00A026B3" w:rsidP="00A02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6B3" w:rsidRPr="00035F3E" w:rsidRDefault="00A026B3" w:rsidP="00A02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26B3" w:rsidRPr="00035F3E" w:rsidTr="00B52A92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6B3" w:rsidRPr="00035F3E" w:rsidRDefault="00A026B3" w:rsidP="00A02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6B3" w:rsidRPr="00035F3E" w:rsidRDefault="00A026B3" w:rsidP="00A02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6B3" w:rsidRPr="00035F3E" w:rsidRDefault="00A026B3" w:rsidP="00A02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026B3" w:rsidRPr="00A026B3" w:rsidRDefault="00A026B3" w:rsidP="00A026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6B3">
              <w:rPr>
                <w:rFonts w:ascii="Times New Roman" w:hAnsi="Times New Roman" w:cs="Times New Roman"/>
                <w:color w:val="000000"/>
                <w:sz w:val="20"/>
              </w:rPr>
              <w:t>Стержень Шанца, тип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026B3" w:rsidRPr="00A026B3" w:rsidRDefault="00A026B3" w:rsidP="00A026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6B3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6B3" w:rsidRPr="00035F3E" w:rsidRDefault="00A026B3" w:rsidP="00A02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6B3" w:rsidRPr="00035F3E" w:rsidRDefault="00A026B3" w:rsidP="00A02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26B3" w:rsidRPr="00035F3E" w:rsidTr="00B52A92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6B3" w:rsidRPr="00035F3E" w:rsidRDefault="00A026B3" w:rsidP="00A02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6B3" w:rsidRPr="00035F3E" w:rsidRDefault="00A026B3" w:rsidP="00A02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6B3" w:rsidRPr="00035F3E" w:rsidRDefault="00A026B3" w:rsidP="00A02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026B3" w:rsidRPr="00A026B3" w:rsidRDefault="00A026B3" w:rsidP="00A026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6B3">
              <w:rPr>
                <w:rFonts w:ascii="Times New Roman" w:hAnsi="Times New Roman" w:cs="Times New Roman"/>
                <w:color w:val="000000"/>
                <w:sz w:val="20"/>
              </w:rPr>
              <w:t>Стержень Шанца, тип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026B3" w:rsidRPr="00A026B3" w:rsidRDefault="00A026B3" w:rsidP="00A026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6B3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6B3" w:rsidRPr="00035F3E" w:rsidRDefault="00A026B3" w:rsidP="00A02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6B3" w:rsidRPr="00035F3E" w:rsidRDefault="00A026B3" w:rsidP="00A02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26B3" w:rsidRPr="00035F3E" w:rsidTr="00B52A92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6B3" w:rsidRPr="00035F3E" w:rsidRDefault="00A026B3" w:rsidP="00A02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6B3" w:rsidRPr="00035F3E" w:rsidRDefault="00A026B3" w:rsidP="00A02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6B3" w:rsidRPr="00035F3E" w:rsidRDefault="00A026B3" w:rsidP="00A02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026B3" w:rsidRPr="00A026B3" w:rsidRDefault="00A026B3" w:rsidP="00A026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6B3">
              <w:rPr>
                <w:rFonts w:ascii="Times New Roman" w:hAnsi="Times New Roman" w:cs="Times New Roman"/>
                <w:color w:val="000000"/>
                <w:sz w:val="20"/>
              </w:rPr>
              <w:t>Стержень Шанца, тип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026B3" w:rsidRPr="00A026B3" w:rsidRDefault="00A026B3" w:rsidP="00A026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6B3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6B3" w:rsidRPr="00035F3E" w:rsidRDefault="00A026B3" w:rsidP="00A02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6B3" w:rsidRPr="00035F3E" w:rsidRDefault="00A026B3" w:rsidP="00A02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26B3" w:rsidRPr="00035F3E" w:rsidTr="00B52A92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6B3" w:rsidRPr="00035F3E" w:rsidRDefault="00A026B3" w:rsidP="00A02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6B3" w:rsidRPr="00035F3E" w:rsidRDefault="00A026B3" w:rsidP="00A02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6B3" w:rsidRPr="00035F3E" w:rsidRDefault="00A026B3" w:rsidP="00A02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026B3" w:rsidRPr="00A026B3" w:rsidRDefault="00A026B3" w:rsidP="00A026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6B3">
              <w:rPr>
                <w:rFonts w:ascii="Times New Roman" w:hAnsi="Times New Roman" w:cs="Times New Roman"/>
                <w:color w:val="000000"/>
                <w:sz w:val="20"/>
              </w:rPr>
              <w:t>Стержень Шанца, тип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026B3" w:rsidRPr="00A026B3" w:rsidRDefault="00A026B3" w:rsidP="00A026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6B3">
              <w:rPr>
                <w:rFonts w:ascii="Times New Roman" w:hAnsi="Times New Roman" w:cs="Times New Roman"/>
                <w:color w:val="000000"/>
                <w:sz w:val="20"/>
              </w:rPr>
              <w:t>30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6B3" w:rsidRPr="00035F3E" w:rsidRDefault="00A026B3" w:rsidP="00A02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6B3" w:rsidRPr="00035F3E" w:rsidRDefault="00A026B3" w:rsidP="00A02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26B3" w:rsidRPr="00035F3E" w:rsidTr="00B52A92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6B3" w:rsidRPr="00035F3E" w:rsidRDefault="00A026B3" w:rsidP="00A02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6B3" w:rsidRPr="00035F3E" w:rsidRDefault="00A026B3" w:rsidP="00A02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6B3" w:rsidRPr="00035F3E" w:rsidRDefault="00A026B3" w:rsidP="00A02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026B3" w:rsidRPr="00A026B3" w:rsidRDefault="00A026B3" w:rsidP="00A026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6B3">
              <w:rPr>
                <w:rFonts w:ascii="Times New Roman" w:hAnsi="Times New Roman" w:cs="Times New Roman"/>
                <w:color w:val="000000"/>
                <w:sz w:val="20"/>
              </w:rPr>
              <w:t>Стержень Шанца, тип 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026B3" w:rsidRPr="00A026B3" w:rsidRDefault="00A026B3" w:rsidP="00A026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6B3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6B3" w:rsidRPr="00035F3E" w:rsidRDefault="00A026B3" w:rsidP="00A02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6B3" w:rsidRPr="00035F3E" w:rsidRDefault="00A026B3" w:rsidP="00A02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26B3" w:rsidRPr="00035F3E" w:rsidTr="00B52A92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6B3" w:rsidRPr="00035F3E" w:rsidRDefault="00A026B3" w:rsidP="00A02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6B3" w:rsidRPr="00035F3E" w:rsidRDefault="00A026B3" w:rsidP="00A02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6B3" w:rsidRPr="00035F3E" w:rsidRDefault="00A026B3" w:rsidP="00A02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026B3" w:rsidRPr="00A026B3" w:rsidRDefault="00A026B3" w:rsidP="00A026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6B3">
              <w:rPr>
                <w:rFonts w:ascii="Times New Roman" w:hAnsi="Times New Roman" w:cs="Times New Roman"/>
                <w:color w:val="000000"/>
                <w:sz w:val="20"/>
              </w:rPr>
              <w:t>Трубка несущая, тип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026B3" w:rsidRPr="00A026B3" w:rsidRDefault="00A026B3" w:rsidP="00A026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6B3"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6B3" w:rsidRPr="00035F3E" w:rsidRDefault="00A026B3" w:rsidP="00A02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6B3" w:rsidRPr="00035F3E" w:rsidRDefault="00A026B3" w:rsidP="00A02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26B3" w:rsidRPr="00035F3E" w:rsidTr="00B52A92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6B3" w:rsidRPr="00035F3E" w:rsidRDefault="00A026B3" w:rsidP="00A02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6B3" w:rsidRPr="00035F3E" w:rsidRDefault="00A026B3" w:rsidP="00A02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6B3" w:rsidRPr="00035F3E" w:rsidRDefault="00A026B3" w:rsidP="00A02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026B3" w:rsidRPr="00A026B3" w:rsidRDefault="00A026B3" w:rsidP="00A026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6B3">
              <w:rPr>
                <w:rFonts w:ascii="Times New Roman" w:hAnsi="Times New Roman" w:cs="Times New Roman"/>
                <w:color w:val="000000"/>
                <w:sz w:val="20"/>
              </w:rPr>
              <w:t>Трубка несущая, тип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026B3" w:rsidRPr="00A026B3" w:rsidRDefault="00A026B3" w:rsidP="00A026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6B3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6B3" w:rsidRPr="00035F3E" w:rsidRDefault="00A026B3" w:rsidP="00A02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6B3" w:rsidRPr="00035F3E" w:rsidRDefault="00A026B3" w:rsidP="00A02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26B3" w:rsidRPr="00035F3E" w:rsidTr="00B52A92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6B3" w:rsidRPr="00035F3E" w:rsidRDefault="00A026B3" w:rsidP="00A02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6B3" w:rsidRPr="00035F3E" w:rsidRDefault="00A026B3" w:rsidP="00A02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6B3" w:rsidRPr="00035F3E" w:rsidRDefault="00A026B3" w:rsidP="00A02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026B3" w:rsidRPr="00A026B3" w:rsidRDefault="00A026B3" w:rsidP="00A026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6B3">
              <w:rPr>
                <w:rFonts w:ascii="Times New Roman" w:hAnsi="Times New Roman" w:cs="Times New Roman"/>
                <w:color w:val="000000"/>
                <w:sz w:val="20"/>
              </w:rPr>
              <w:t>Трубка несущая, тип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026B3" w:rsidRPr="00A026B3" w:rsidRDefault="00A026B3" w:rsidP="00A026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6B3">
              <w:rPr>
                <w:rFonts w:ascii="Times New Roman" w:hAnsi="Times New Roman" w:cs="Times New Roman"/>
                <w:color w:val="000000"/>
                <w:sz w:val="20"/>
              </w:rPr>
              <w:t>24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6B3" w:rsidRPr="00035F3E" w:rsidRDefault="00A026B3" w:rsidP="00A02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6B3" w:rsidRPr="00035F3E" w:rsidRDefault="00A026B3" w:rsidP="00A02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26B3" w:rsidRPr="00035F3E" w:rsidTr="00B52A92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6B3" w:rsidRPr="00035F3E" w:rsidRDefault="00A026B3" w:rsidP="00A02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6B3" w:rsidRPr="00035F3E" w:rsidRDefault="00A026B3" w:rsidP="00A02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6B3" w:rsidRPr="00035F3E" w:rsidRDefault="00A026B3" w:rsidP="00A02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026B3" w:rsidRPr="00A026B3" w:rsidRDefault="00A026B3" w:rsidP="00A026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6B3">
              <w:rPr>
                <w:rFonts w:ascii="Times New Roman" w:hAnsi="Times New Roman" w:cs="Times New Roman"/>
                <w:color w:val="000000"/>
                <w:sz w:val="20"/>
              </w:rPr>
              <w:t>Трубка несущая, тип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026B3" w:rsidRPr="00A026B3" w:rsidRDefault="00A026B3" w:rsidP="00A026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6B3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6B3" w:rsidRPr="00035F3E" w:rsidRDefault="00A026B3" w:rsidP="00A02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6B3" w:rsidRPr="00035F3E" w:rsidRDefault="00A026B3" w:rsidP="00A02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26B3" w:rsidRPr="00035F3E" w:rsidTr="00B52A92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6B3" w:rsidRPr="00035F3E" w:rsidRDefault="00A026B3" w:rsidP="00A02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6B3" w:rsidRPr="00035F3E" w:rsidRDefault="00A026B3" w:rsidP="00A02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6B3" w:rsidRPr="00035F3E" w:rsidRDefault="00A026B3" w:rsidP="00A02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026B3" w:rsidRPr="00A026B3" w:rsidRDefault="00A026B3" w:rsidP="00A026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6B3">
              <w:rPr>
                <w:rFonts w:ascii="Times New Roman" w:hAnsi="Times New Roman" w:cs="Times New Roman"/>
                <w:color w:val="000000"/>
                <w:sz w:val="20"/>
              </w:rPr>
              <w:t>Трубка несущая, тип 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026B3" w:rsidRPr="00A026B3" w:rsidRDefault="00A026B3" w:rsidP="00A026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6B3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6B3" w:rsidRPr="00035F3E" w:rsidRDefault="00A026B3" w:rsidP="00A02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6B3" w:rsidRPr="00035F3E" w:rsidRDefault="00A026B3" w:rsidP="00A02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26B3" w:rsidRPr="00035F3E" w:rsidTr="00B52A92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6B3" w:rsidRPr="00035F3E" w:rsidRDefault="00A026B3" w:rsidP="00A02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6B3" w:rsidRPr="00035F3E" w:rsidRDefault="00A026B3" w:rsidP="00A02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6B3" w:rsidRPr="00035F3E" w:rsidRDefault="00A026B3" w:rsidP="00A02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026B3" w:rsidRPr="00A026B3" w:rsidRDefault="00A026B3" w:rsidP="00A026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6B3">
              <w:rPr>
                <w:rFonts w:ascii="Times New Roman" w:hAnsi="Times New Roman" w:cs="Times New Roman"/>
                <w:color w:val="000000"/>
                <w:sz w:val="20"/>
              </w:rPr>
              <w:t>Трубка несущая, тип 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026B3" w:rsidRPr="00A026B3" w:rsidRDefault="00A026B3" w:rsidP="00A026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6B3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6B3" w:rsidRPr="00035F3E" w:rsidRDefault="00A026B3" w:rsidP="00A02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6B3" w:rsidRPr="00035F3E" w:rsidRDefault="00A026B3" w:rsidP="00A02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26B3" w:rsidRPr="00035F3E" w:rsidTr="00A026B3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6B3" w:rsidRPr="00035F3E" w:rsidRDefault="00A026B3" w:rsidP="00A02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6B3" w:rsidRPr="00035F3E" w:rsidRDefault="00A026B3" w:rsidP="00A02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6B3" w:rsidRPr="00035F3E" w:rsidRDefault="00A026B3" w:rsidP="00A02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26B3" w:rsidRPr="00A026B3" w:rsidRDefault="00A026B3" w:rsidP="00A026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6B3">
              <w:rPr>
                <w:rFonts w:ascii="Times New Roman" w:hAnsi="Times New Roman" w:cs="Times New Roman"/>
                <w:color w:val="000000"/>
                <w:sz w:val="20"/>
              </w:rPr>
              <w:t>Ключ торцевой специальный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6B3" w:rsidRPr="00A026B3" w:rsidRDefault="00A026B3" w:rsidP="00A026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6B3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6B3" w:rsidRPr="00035F3E" w:rsidRDefault="00A026B3" w:rsidP="00A02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6B3" w:rsidRPr="00035F3E" w:rsidRDefault="00A026B3" w:rsidP="00A02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26B3" w:rsidRPr="00035F3E" w:rsidTr="00035F3E">
        <w:trPr>
          <w:trHeight w:val="98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6B3" w:rsidRPr="00035F3E" w:rsidRDefault="00A026B3" w:rsidP="00A0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6B3" w:rsidRPr="00035F3E" w:rsidRDefault="00A026B3" w:rsidP="00A02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Костный цемент</w:t>
            </w:r>
          </w:p>
        </w:tc>
        <w:tc>
          <w:tcPr>
            <w:tcW w:w="7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26B3" w:rsidRPr="00035F3E" w:rsidRDefault="00A026B3" w:rsidP="00A02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Должен состоять не менее чем из двух компонентов: Один компонент: ампула, содержащая бесцветный жидкий мономер кисло-сладкого запаха, полная доза не менее 20 мл.</w:t>
            </w:r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Другой компонент: пакет, полная доза не менее 40гр мелко измельченного порошка (плоские, скученные микроскопические хлопья; между хлопьями находится воздух, что способствует полному проникновению жидкого мономера).</w:t>
            </w:r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Во время приготовления порошок и жидкость должны смешиваться, превращаясь </w:t>
            </w:r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экзотермической реакции в полимерную форму, похожую на мягкую, гибкую, пастообразную массу. Температура экзотермической реакции не более 60˚С.</w:t>
            </w:r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Должен обладать средней вязкостью. Костный цемент в процессе приготовления должен проходить через фазу низкой и фазу средней вязкости. Время работы не более 8 минут. Должен иметь наивысшую устойчивость к компрессии, прочность на излом и наименьшую усадку и пористость. Остаточный срок стерильности: не менее 12 месяцев.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6B3" w:rsidRPr="00035F3E" w:rsidRDefault="00A026B3" w:rsidP="00A0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шт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6B3" w:rsidRPr="00035F3E" w:rsidRDefault="00A026B3" w:rsidP="00A0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</w:tr>
      <w:tr w:rsidR="00A026B3" w:rsidRPr="00035F3E" w:rsidTr="00035F3E">
        <w:trPr>
          <w:trHeight w:val="11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6B3" w:rsidRPr="00035F3E" w:rsidRDefault="00A026B3" w:rsidP="00A0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6B3" w:rsidRPr="00035F3E" w:rsidRDefault="00A026B3" w:rsidP="00A02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Эндопротез сухожилия сгибателя пальцев кисти временный </w:t>
            </w:r>
          </w:p>
        </w:tc>
        <w:tc>
          <w:tcPr>
            <w:tcW w:w="7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26B3" w:rsidRPr="00035F3E" w:rsidRDefault="00A026B3" w:rsidP="00A02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Эндопротезы сухожилия сгибателя пальцев кисти временные ординарные предназначены для формирования сухожильных каналов с применением силиконовых имплантатов при обширных рубцово-трофических изменениях в области тыла кисти совместно с пластикой мягких тканей данной поверхности и с последующей сухожильной транспозицией. Эндопротезы изготовлены из силиконовой резины. Эндопротез представляет собой силиконовый стержень, имеющий в сечении форму овала. Поставляется в стерильном виде.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6B3" w:rsidRPr="00035F3E" w:rsidRDefault="00A026B3" w:rsidP="00A0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6B3" w:rsidRPr="00035F3E" w:rsidRDefault="00A026B3" w:rsidP="00A0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</w:tbl>
    <w:p w:rsidR="00CD457A" w:rsidRDefault="00CD457A"/>
    <w:sectPr w:rsidR="00CD4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D72"/>
    <w:rsid w:val="00035F3E"/>
    <w:rsid w:val="00405D72"/>
    <w:rsid w:val="008805B8"/>
    <w:rsid w:val="00A026B3"/>
    <w:rsid w:val="00CD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CE7F9-D779-44F3-8035-2DB570E72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5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2024-06-04T08:08:00Z</dcterms:created>
  <dcterms:modified xsi:type="dcterms:W3CDTF">2024-06-06T05:01:00Z</dcterms:modified>
</cp:coreProperties>
</file>