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7173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Утверждаю:</w:t>
      </w:r>
    </w:p>
    <w:p w14:paraId="066722C5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Начальник договорной службы</w:t>
      </w:r>
    </w:p>
    <w:p w14:paraId="3DAD98D0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ГАУЗ СО «Ирбитская ЦГБ»</w:t>
      </w:r>
    </w:p>
    <w:p w14:paraId="47CC34B6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</w:t>
      </w:r>
    </w:p>
    <w:p w14:paraId="000EF919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Т.Н. Царегородцева</w:t>
      </w:r>
    </w:p>
    <w:p w14:paraId="5976D26D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738F18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45579E" w14:textId="1C7B2E98" w:rsidR="00BA2B8C" w:rsidRPr="00694885" w:rsidRDefault="00BA2B8C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ОПИСАНИЕ ПРЕДМЕТА ЗАКУПКИ.</w:t>
      </w:r>
    </w:p>
    <w:p w14:paraId="3CB72C80" w14:textId="77777777" w:rsidR="00694885" w:rsidRPr="00694885" w:rsidRDefault="00694885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03A0818" w14:textId="407FF48F" w:rsidR="00724D76" w:rsidRDefault="00E77377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7377">
        <w:rPr>
          <w:rFonts w:ascii="Times New Roman" w:eastAsia="Times New Roman" w:hAnsi="Times New Roman" w:cs="Times New Roman"/>
          <w:b/>
          <w:sz w:val="21"/>
          <w:szCs w:val="21"/>
        </w:rPr>
        <w:t>Изделия медицинского назначения для лаборатории.</w:t>
      </w:r>
    </w:p>
    <w:p w14:paraId="58328B67" w14:textId="77777777" w:rsidR="00BA29B1" w:rsidRDefault="00BA29B1" w:rsidP="00BA29B1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214"/>
        <w:gridCol w:w="1276"/>
        <w:gridCol w:w="1417"/>
      </w:tblGrid>
      <w:tr w:rsidR="0071665D" w:rsidRPr="0071665D" w14:paraId="2142CBFF" w14:textId="77777777" w:rsidTr="0071665D">
        <w:tc>
          <w:tcPr>
            <w:tcW w:w="851" w:type="dxa"/>
            <w:shd w:val="clear" w:color="auto" w:fill="auto"/>
            <w:vAlign w:val="center"/>
          </w:tcPr>
          <w:p w14:paraId="05B44A0F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89C616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>Наименование товара, работы, услуги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0813360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/>
                <w:sz w:val="20"/>
                <w:szCs w:val="20"/>
              </w:rPr>
              <w:t>Подробное описание предмета закупки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CCD9B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88428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>Количество това</w:t>
            </w:r>
            <w:bookmarkStart w:id="0" w:name="_GoBack"/>
            <w:bookmarkEnd w:id="0"/>
            <w:r w:rsidRPr="0071665D">
              <w:rPr>
                <w:b/>
                <w:bCs/>
                <w:kern w:val="1"/>
                <w:sz w:val="20"/>
                <w:szCs w:val="20"/>
                <w:lang w:eastAsia="ar-SA"/>
              </w:rPr>
              <w:t>ра, объема работы или услуги</w:t>
            </w:r>
          </w:p>
        </w:tc>
      </w:tr>
      <w:tr w:rsidR="0071665D" w:rsidRPr="0071665D" w14:paraId="199FEDA6" w14:textId="77777777" w:rsidTr="0071665D">
        <w:tc>
          <w:tcPr>
            <w:tcW w:w="851" w:type="dxa"/>
            <w:shd w:val="clear" w:color="auto" w:fill="auto"/>
            <w:vAlign w:val="center"/>
          </w:tcPr>
          <w:p w14:paraId="1A98CAD5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AA1502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Реагенты на дисках для определения чувствительности микроорганизмов к антибиотикам с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цефтриаксон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, 30 мкг</w:t>
            </w:r>
          </w:p>
        </w:tc>
        <w:tc>
          <w:tcPr>
            <w:tcW w:w="9214" w:type="dxa"/>
            <w:shd w:val="clear" w:color="auto" w:fill="auto"/>
          </w:tcPr>
          <w:p w14:paraId="01F4E072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Диски импрегнированные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цефтриаксоном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для определения чувствительности микроорганизмов к антибиотикам. Нагрузка диска 30 мкг. Диаметр диска 6,5 мм. Маркировка CRO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Влагопоглотитель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силикагелевой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природы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изолированный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мембраной. Количество дисков в 1 флаконе не менее 100. Остаточный срок годности на момент поставки не менее 6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532C7D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spellStart"/>
            <w:r w:rsidRPr="0071665D">
              <w:rPr>
                <w:sz w:val="20"/>
                <w:szCs w:val="20"/>
              </w:rPr>
              <w:t>фл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E7E4B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2</w:t>
            </w:r>
          </w:p>
        </w:tc>
      </w:tr>
      <w:tr w:rsidR="0071665D" w:rsidRPr="0071665D" w14:paraId="35696188" w14:textId="77777777" w:rsidTr="0071665D">
        <w:tc>
          <w:tcPr>
            <w:tcW w:w="851" w:type="dxa"/>
            <w:shd w:val="clear" w:color="auto" w:fill="auto"/>
            <w:vAlign w:val="center"/>
          </w:tcPr>
          <w:p w14:paraId="276CAA16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C5CAFD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Реагенты на дисках для определения чувствительности микроорганизмов к антибиотикам с эритромицином, 15 мкг</w:t>
            </w:r>
          </w:p>
        </w:tc>
        <w:tc>
          <w:tcPr>
            <w:tcW w:w="9214" w:type="dxa"/>
            <w:shd w:val="clear" w:color="auto" w:fill="auto"/>
          </w:tcPr>
          <w:p w14:paraId="5508F9D7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Диски импрегнированные эритромицином для определения чувствительности микроорганизмов к антибиотикам. Нагрузка диска 15 мкг. Диаметр диска 6,5 мм. Маркировка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Влагопоглотитель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силикагелевой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природы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изолированный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мембраной. Количество дисков в 1 флаконе не менее 100. Остаточный срок годности на момент поставки не менее 6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59435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spellStart"/>
            <w:r w:rsidRPr="0071665D">
              <w:rPr>
                <w:sz w:val="20"/>
                <w:szCs w:val="20"/>
              </w:rPr>
              <w:t>фл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38CB2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</w:t>
            </w:r>
          </w:p>
        </w:tc>
      </w:tr>
      <w:tr w:rsidR="0071665D" w:rsidRPr="0071665D" w14:paraId="2A641EBA" w14:textId="77777777" w:rsidTr="0071665D">
        <w:tc>
          <w:tcPr>
            <w:tcW w:w="851" w:type="dxa"/>
            <w:shd w:val="clear" w:color="auto" w:fill="auto"/>
            <w:vAlign w:val="center"/>
          </w:tcPr>
          <w:p w14:paraId="26CF6238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7C094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Реагенты на дисках для определения чувствительности микроорганизмов к антибиотикам с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нитрофурантоином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, 100 мкг</w:t>
            </w:r>
          </w:p>
        </w:tc>
        <w:tc>
          <w:tcPr>
            <w:tcW w:w="9214" w:type="dxa"/>
            <w:shd w:val="clear" w:color="auto" w:fill="auto"/>
          </w:tcPr>
          <w:p w14:paraId="47A3DD7C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Диски импрегнированные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нитрофурантоином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для определения чувствительности микроорганизмов к антибиотикам. Нагрузка диска 100 мкг. Диаметр диска 6,5 мм. Маркировка NFE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Влагопоглотитель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силикагелевой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природы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изолированный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Bio-Rad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. Считывание результатов визуально, с помощью анализаторов Озирис или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>дажио. Остаточный срок годности на момент поставки не менее 90 дней.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74B14A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spellStart"/>
            <w:r w:rsidRPr="0071665D">
              <w:rPr>
                <w:sz w:val="20"/>
                <w:szCs w:val="20"/>
              </w:rPr>
              <w:t>уп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25C85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</w:t>
            </w:r>
          </w:p>
        </w:tc>
      </w:tr>
      <w:tr w:rsidR="0071665D" w:rsidRPr="0071665D" w14:paraId="3195F3FA" w14:textId="77777777" w:rsidTr="0071665D">
        <w:tc>
          <w:tcPr>
            <w:tcW w:w="851" w:type="dxa"/>
            <w:shd w:val="clear" w:color="auto" w:fill="auto"/>
            <w:vAlign w:val="center"/>
          </w:tcPr>
          <w:p w14:paraId="5DFB9930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30BB8E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Питательная среда для культивирования грибов</w:t>
            </w:r>
          </w:p>
        </w:tc>
        <w:tc>
          <w:tcPr>
            <w:tcW w:w="9214" w:type="dxa"/>
            <w:shd w:val="clear" w:color="auto" w:fill="auto"/>
          </w:tcPr>
          <w:p w14:paraId="2097E664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Питательная среда (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) для культивирования грибов, а также определения общего числа грибов в нестерильных лекарственных средствах. Изделие для диагностики ин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витро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. Функциональное назначение - вспомогательное средство в диагностике. Принцип метода - визуальное обнаружение грибов, выросших на питательной среде при посеве исследуемых образцов. Набор реагентов представляет собой смесь сухих компонентов. Состав (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г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/л): 1. Пептон сухой ферментативный для бактериологических целей 12,0; 2. Экстракт кормовых дрожжей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агаризованный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5,0; 3. Натрия хлорид 5,0; 4.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микробиологический 9,0; 5. D-глюкоза 30,5.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 xml:space="preserve">Набор реагентов должен обеспечивает рост тест-штаммов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Candida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albicans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259/NCTC/885/653,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Candida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brumptii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530/ИБФМ-А-40 и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Aspergillius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niger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BKM F-1119 при посеве по 0,1 мл взвеси каждого тест-штамма из разведений 10"4 и 10'5 через (24±1) ч инкубации при температуре (37±1) °С для С.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albicans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259/NCT/885/653, через (24±1) ч инкубации при </w:t>
            </w:r>
            <w:r w:rsidRPr="0071665D">
              <w:rPr>
                <w:snapToGrid w:val="0"/>
                <w:sz w:val="20"/>
                <w:szCs w:val="20"/>
              </w:rPr>
              <w:lastRenderedPageBreak/>
              <w:t>температуре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(28±1)°С для С.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brumptii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53О/ИБФМ-.1-40 и через 48-72 ч инкубации при температуре (22.5±2.5)°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С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для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Aspergillius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niger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BKMF-1119. Фасовка: полиэтиленовая банка по </w:t>
            </w:r>
            <w:r w:rsidRPr="0071665D">
              <w:rPr>
                <w:snapToGrid w:val="0"/>
                <w:sz w:val="20"/>
                <w:szCs w:val="20"/>
                <w:highlight w:val="yellow"/>
              </w:rPr>
              <w:t>250 грамм</w:t>
            </w:r>
            <w:r w:rsidRPr="0071665D">
              <w:rPr>
                <w:snapToGrid w:val="0"/>
                <w:sz w:val="20"/>
                <w:szCs w:val="20"/>
              </w:rPr>
              <w:t xml:space="preserve"> с инструкцией по применению, паспорт (в комплекте поставки). Ремонту и обслуживанию не подлежит.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E5FD1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lastRenderedPageBreak/>
              <w:t> </w:t>
            </w:r>
            <w:proofErr w:type="gramStart"/>
            <w:r w:rsidRPr="0071665D">
              <w:rPr>
                <w:sz w:val="20"/>
                <w:szCs w:val="20"/>
              </w:rPr>
              <w:t>кг</w:t>
            </w:r>
            <w:proofErr w:type="gram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DECB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4</w:t>
            </w:r>
          </w:p>
        </w:tc>
      </w:tr>
      <w:tr w:rsidR="0071665D" w:rsidRPr="0071665D" w14:paraId="6149551A" w14:textId="77777777" w:rsidTr="0071665D">
        <w:tc>
          <w:tcPr>
            <w:tcW w:w="851" w:type="dxa"/>
            <w:shd w:val="clear" w:color="auto" w:fill="auto"/>
            <w:vAlign w:val="center"/>
          </w:tcPr>
          <w:p w14:paraId="60BD9CC1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337745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Salmonella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spp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14:paraId="02738622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Питательная среда для выделения сальмонелл сухая (Висмут-сульфит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). Состав (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/л): 1.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Панкреатический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гидролизат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кильки 27,1; 2.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микробиологичесий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12,4; 3. Экстракт кормовых дрожжей 0,64; 4. D-глюкоза 4,5; 5. Висмут лимоннокислый 1,7; 6. Натрия сульфит безводный 2,55; 7. Соль Мора 1,15; 8.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Динатрий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фосфат обезвоженный 2,55; 9. Бриллиантовый зеленый 0,016; 10. Сода кальцинированная 0,6; 11. Натрия хлорид 2,5. Фасовка: полиэтиленовая банка по </w:t>
            </w: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250 грамм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с инструкцией по применению, паспорт (в комплекте поставки).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D87B1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</w:t>
            </w:r>
            <w:proofErr w:type="gramEnd"/>
            <w:r w:rsidRPr="0071665D">
              <w:rPr>
                <w:sz w:val="20"/>
                <w:szCs w:val="20"/>
              </w:rPr>
              <w:t>г.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B53C4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1,750</w:t>
            </w:r>
          </w:p>
        </w:tc>
      </w:tr>
      <w:tr w:rsidR="0071665D" w:rsidRPr="0071665D" w14:paraId="41E7C2C5" w14:textId="77777777" w:rsidTr="0071665D">
        <w:tc>
          <w:tcPr>
            <w:tcW w:w="851" w:type="dxa"/>
            <w:shd w:val="clear" w:color="auto" w:fill="auto"/>
            <w:vAlign w:val="center"/>
          </w:tcPr>
          <w:p w14:paraId="5552AA8C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65B079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Питательная среда для культивирования микроорганизмов</w:t>
            </w:r>
          </w:p>
        </w:tc>
        <w:tc>
          <w:tcPr>
            <w:tcW w:w="9214" w:type="dxa"/>
            <w:shd w:val="clear" w:color="auto" w:fill="auto"/>
          </w:tcPr>
          <w:p w14:paraId="5B2FF636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Питательная среда (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) для культивирования различных микроорганизмов сухая, в том числе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энтеробактерий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, синегнойной палочки, стафилококков, а также для проведения исследований в санитарной и клинической микробиологии (ГРМ-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). Представляет собой мелкодисперсный гигроскопичный порошок светло-желтого цвета. Среда может быть обогащена кровью, сывороткой, углеводами. Состав (г): 1.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Панкреатический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гидролизат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кильки 17.9; 2.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микробиологический 11.2; 3. Натрия хлорид 7,7. Фасовка: полиэтиленовая банка по </w:t>
            </w: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250 грамм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с инструкцией по применению, паспорт (в комплекте поставки).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0550CE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</w:t>
            </w:r>
            <w:proofErr w:type="gramEnd"/>
            <w:r w:rsidRPr="0071665D">
              <w:rPr>
                <w:sz w:val="20"/>
                <w:szCs w:val="20"/>
              </w:rPr>
              <w:t>г.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F9CADA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11,500</w:t>
            </w:r>
          </w:p>
        </w:tc>
      </w:tr>
      <w:tr w:rsidR="0071665D" w:rsidRPr="0071665D" w14:paraId="0AEDEDA6" w14:textId="77777777" w:rsidTr="0071665D">
        <w:tc>
          <w:tcPr>
            <w:tcW w:w="851" w:type="dxa"/>
            <w:shd w:val="clear" w:color="auto" w:fill="auto"/>
            <w:vAlign w:val="center"/>
          </w:tcPr>
          <w:p w14:paraId="7327D488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1164DC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энтеробактерий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685724B6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энтеробактерий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и их дифференцирования по принципу ферментации лактозы сухая (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-Эндо). Выделение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энтеробактерий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осуществляется микробиологическим методом. Принцип метода – визуальное обнаружение бактерий, выросших на питательной среде при посеве исследуемых образцов. Состав (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г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/л): 1.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Питательный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сухой 26,5; 2. ЭКДА 1,22; 3. Фуксин основной 0,23; 4. Сахар молочный 10,7; 5.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Динатрия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фосфат 0,48; 6. Натрия сульфит безводный 0,83; 7. Натрий углекислый 0,03. Фасовка: полиэтиленовая банка по 250 грамм с инструкцией по применению, паспорт (в комплекте поставки). Производство: РФ. Остаточный срок годности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283D52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</w:t>
            </w:r>
            <w:proofErr w:type="gramEnd"/>
            <w:r w:rsidRPr="0071665D">
              <w:rPr>
                <w:sz w:val="20"/>
                <w:szCs w:val="20"/>
              </w:rPr>
              <w:t>г.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55F83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1,250</w:t>
            </w:r>
          </w:p>
        </w:tc>
      </w:tr>
      <w:tr w:rsidR="0071665D" w:rsidRPr="0071665D" w14:paraId="40CAFE43" w14:textId="77777777" w:rsidTr="0071665D">
        <w:tc>
          <w:tcPr>
            <w:tcW w:w="851" w:type="dxa"/>
            <w:shd w:val="clear" w:color="auto" w:fill="auto"/>
            <w:vAlign w:val="center"/>
          </w:tcPr>
          <w:p w14:paraId="64C2B09A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FDDFBC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Мюллера-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Хинтона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757CF653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Гомогенный сыпучий порошок светло-янтарной окраски, прозрачный, слегка опалесцирующий, по плотности соответствует 1,7% агаровому гелю. Состав (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/л): 1. Мясной настой 300,00; 2.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Гидролизат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казеина 17,50; 3. Крахмал 1,50; 4. Агар-агар 17,00. рН при температуре 25 градусов по Цельсию 7,3. Упаковка: непрозрачная водоотталкивающая пластиковая с завинчивающимся колпачком, который имеет внутреннюю крышку. Фасовка: банка по </w:t>
            </w: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500 грамм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с инструкцией по применению, паспорт (в комплекте поставки).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2D5D9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spellStart"/>
            <w:r w:rsidRPr="0071665D">
              <w:rPr>
                <w:sz w:val="20"/>
                <w:szCs w:val="20"/>
              </w:rPr>
              <w:t>уп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2BDDF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4</w:t>
            </w:r>
          </w:p>
        </w:tc>
      </w:tr>
      <w:tr w:rsidR="0071665D" w:rsidRPr="0071665D" w14:paraId="75E7C46F" w14:textId="77777777" w:rsidTr="0071665D">
        <w:tc>
          <w:tcPr>
            <w:tcW w:w="851" w:type="dxa"/>
            <w:shd w:val="clear" w:color="auto" w:fill="auto"/>
            <w:vAlign w:val="center"/>
          </w:tcPr>
          <w:p w14:paraId="4689198B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A5D519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Пептон для бактериологических питательных сред</w:t>
            </w:r>
          </w:p>
        </w:tc>
        <w:tc>
          <w:tcPr>
            <w:tcW w:w="9214" w:type="dxa"/>
            <w:shd w:val="clear" w:color="auto" w:fill="auto"/>
          </w:tcPr>
          <w:p w14:paraId="38ECCD44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Пептон для бактериологических питательных сред в виде аморфного сухого порошка.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Получен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из животного сырья ферментативным гидролизом по ТУ 9385-060-39484474-2009. Фасовка: банка не менее </w:t>
            </w:r>
            <w:r w:rsidRPr="0071665D">
              <w:rPr>
                <w:snapToGrid w:val="0"/>
                <w:sz w:val="20"/>
                <w:szCs w:val="20"/>
                <w:highlight w:val="yellow"/>
              </w:rPr>
              <w:t>0,250 кг</w:t>
            </w:r>
            <w:r w:rsidRPr="0071665D">
              <w:rPr>
                <w:snapToGrid w:val="0"/>
                <w:sz w:val="20"/>
                <w:szCs w:val="20"/>
              </w:rPr>
              <w:t>. Производство: РФ. Остаточный срок годности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B717B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кг</w:t>
            </w:r>
            <w:proofErr w:type="gram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D7C56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0,500</w:t>
            </w:r>
          </w:p>
        </w:tc>
      </w:tr>
      <w:tr w:rsidR="0071665D" w:rsidRPr="0071665D" w14:paraId="67B931B8" w14:textId="77777777" w:rsidTr="0071665D">
        <w:tc>
          <w:tcPr>
            <w:tcW w:w="851" w:type="dxa"/>
            <w:shd w:val="clear" w:color="auto" w:fill="auto"/>
            <w:vAlign w:val="center"/>
          </w:tcPr>
          <w:p w14:paraId="5767C451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E34A24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Тиогликолевая среда</w:t>
            </w:r>
          </w:p>
        </w:tc>
        <w:tc>
          <w:tcPr>
            <w:tcW w:w="9214" w:type="dxa"/>
            <w:shd w:val="clear" w:color="auto" w:fill="auto"/>
          </w:tcPr>
          <w:p w14:paraId="24A02471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Питательная среда для контроля стерильности медицинских иммунобиологических препаратов. Культивирование микроорганизмов осуществляется микробиологическим методом. Принцип метода – визуальное обнаружение бактерий, выросших на питательной среде при посеве исследуемых образцов. Набор реагентов представляет собой смесь сухих компонентов. Состав (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г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/л): 1.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Панкреатический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гидролизат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казеина 15,0; 2. Натрия хлорид 2,5; 3. Экстракт кормовых дрожжей для микробиологических питательных сред сухой (ЭКД) 5,0; 4. D-глюкоза   5,0; 5.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Тиогликолят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натрия 0,5; 6. цистеин  0,75; 7. Натрий углекислый  0,8±0,2; 8.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микробиологический   0,75. Фасовка: полиэтиленовая банка по </w:t>
            </w:r>
            <w:r w:rsidRPr="0071665D">
              <w:rPr>
                <w:snapToGrid w:val="0"/>
                <w:sz w:val="20"/>
                <w:szCs w:val="20"/>
                <w:highlight w:val="yellow"/>
              </w:rPr>
              <w:t>250 грамм</w:t>
            </w:r>
            <w:r w:rsidRPr="0071665D">
              <w:rPr>
                <w:snapToGrid w:val="0"/>
                <w:sz w:val="20"/>
                <w:szCs w:val="20"/>
              </w:rPr>
              <w:t>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2C2F7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</w:t>
            </w:r>
            <w:proofErr w:type="gramEnd"/>
            <w:r w:rsidRPr="0071665D">
              <w:rPr>
                <w:sz w:val="20"/>
                <w:szCs w:val="20"/>
              </w:rPr>
              <w:t>г.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E553F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0,250</w:t>
            </w:r>
          </w:p>
        </w:tc>
      </w:tr>
      <w:tr w:rsidR="0071665D" w:rsidRPr="0071665D" w14:paraId="268D79C5" w14:textId="77777777" w:rsidTr="0071665D">
        <w:tc>
          <w:tcPr>
            <w:tcW w:w="851" w:type="dxa"/>
            <w:shd w:val="clear" w:color="auto" w:fill="auto"/>
            <w:vAlign w:val="center"/>
          </w:tcPr>
          <w:p w14:paraId="46B545E5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74B2B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среда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Кесслера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511B7674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Питательная среда для санитарно-бактериологических исследований воды, пищевых продуктов сухая (среда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Кесслера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) предназначена для обнаружения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бесспоровых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грамотрицательных аэробных и 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факультативно-анаэробных бактерий (БГКП), в основном относящихся к родам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эшерихия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цитробактер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энтеробактер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и клебсиелла по признаку ферментации лактозы при санитарно-бактериологическом обследовании пищевых продуктов и объектов внешней среды (вода, сточные воды и др.). Изделие для диагностики ин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витро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. Функциональное назначение - вспомогательное средство в диагностике. Фасовка: полиэтиленовая банка по </w:t>
            </w: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250 грамм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9C2512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lastRenderedPageBreak/>
              <w:t> </w:t>
            </w:r>
            <w:proofErr w:type="gramStart"/>
            <w:r w:rsidRPr="0071665D">
              <w:rPr>
                <w:sz w:val="20"/>
                <w:szCs w:val="20"/>
              </w:rPr>
              <w:t>кг</w:t>
            </w:r>
            <w:proofErr w:type="gram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6F0B6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0,250</w:t>
            </w:r>
          </w:p>
        </w:tc>
      </w:tr>
      <w:tr w:rsidR="0071665D" w:rsidRPr="0071665D" w14:paraId="16810045" w14:textId="77777777" w:rsidTr="0071665D">
        <w:tc>
          <w:tcPr>
            <w:tcW w:w="851" w:type="dxa"/>
            <w:shd w:val="clear" w:color="auto" w:fill="auto"/>
            <w:vAlign w:val="center"/>
          </w:tcPr>
          <w:p w14:paraId="1C853397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18E419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коринебактерий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7EF36E6B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коринебактерий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(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Коринебакагар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) предназначена для определения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токсигенности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дифтерийных микробов. Представляет собой мелкодисперсный гигроскопичный порошок светло-желтого цвета. Изделие для диагностики ин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витро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. Функциональное назначение - вспомогательное средство в диагностике. Фасовка: полиэтиленовая банка по </w:t>
            </w:r>
            <w:r w:rsidRPr="0071665D">
              <w:rPr>
                <w:snapToGrid w:val="0"/>
                <w:sz w:val="20"/>
                <w:szCs w:val="20"/>
                <w:highlight w:val="yellow"/>
              </w:rPr>
              <w:t>250 грамм</w:t>
            </w:r>
            <w:r w:rsidRPr="0071665D">
              <w:rPr>
                <w:snapToGrid w:val="0"/>
                <w:sz w:val="20"/>
                <w:szCs w:val="20"/>
              </w:rPr>
              <w:t>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DFE8D1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кг</w:t>
            </w:r>
            <w:proofErr w:type="gram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393FC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1,000</w:t>
            </w:r>
          </w:p>
        </w:tc>
      </w:tr>
      <w:tr w:rsidR="0071665D" w:rsidRPr="0071665D" w14:paraId="6BF69D6B" w14:textId="77777777" w:rsidTr="0071665D">
        <w:tc>
          <w:tcPr>
            <w:tcW w:w="851" w:type="dxa"/>
            <w:shd w:val="clear" w:color="auto" w:fill="auto"/>
            <w:vAlign w:val="center"/>
          </w:tcPr>
          <w:p w14:paraId="6DF402BF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1A559E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Питательная среда для культивирования и выделения возбудителя коклюшного микроба сухая</w:t>
            </w:r>
          </w:p>
        </w:tc>
        <w:tc>
          <w:tcPr>
            <w:tcW w:w="9214" w:type="dxa"/>
            <w:shd w:val="clear" w:color="auto" w:fill="auto"/>
          </w:tcPr>
          <w:p w14:paraId="1E536E62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Мелкодисперсный, гигроскопичный порошок. Назначение: для выделения коклюшного микроба из инфицированного материала от больных коклюшем и контактных лиц, а также для культивирования штаммов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бордетелл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Бордетелагар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).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Состав: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солянокислотный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гидролизат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казеина – не менее 12 г/л, стимулятор роста гемофильных микроорганизмов – не менее 1 г/л, панкреатический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гидролизат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казеина – не менее 8 г/л, дрожжевой экстракт – не менее 5 г/л, натрий хлористый – не менее 1 г/л, крахмал растворимый – не менее 2 г/л, уголь активный – не менее 5 г/л, натрий углекислый – не менее 0,5 г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/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л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, комплекс микроэлементов,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микробиологический – не менее 10 г/л. Упаковка: полиэтиленовые банки. Фасовка: не более 0,25кг. Остаточный срок годности на момент поставки не менее 12 мес.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E733B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кг</w:t>
            </w:r>
            <w:proofErr w:type="gram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758CF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0,750</w:t>
            </w:r>
          </w:p>
        </w:tc>
      </w:tr>
      <w:tr w:rsidR="0071665D" w:rsidRPr="0071665D" w14:paraId="2CACF170" w14:textId="77777777" w:rsidTr="0071665D">
        <w:tc>
          <w:tcPr>
            <w:tcW w:w="851" w:type="dxa"/>
            <w:shd w:val="clear" w:color="auto" w:fill="auto"/>
            <w:vAlign w:val="center"/>
          </w:tcPr>
          <w:p w14:paraId="6F0206C1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C9FA19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Цитратный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агар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Симмонса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4E8C5EC8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Питательная среда для родовой идентификации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энтеробактерий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по их способности утилизировать цитрат. Изделие для диагностики ин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витро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. Функциональное назначение - вспомогательное средство в диагностике. Принцип метода - визуальное обнаружение бактерий, выросших на питательной среде при посеве исследуемых образцов. Набор реагентов представляет собой смесь сухих компонентов. Состав (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/л): 1. Аммоний фосфорнокислый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двузамещенный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(ГОСТ 3772-74) - 1,6; 2.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Динатрия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фосфат обезвоженный (ТУ 64-6-254-88) - 1,1; 3. Магний сернокислый (ГОСТ 4523-77) - 0,2; 4. Натрия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гидроцитрат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двузамещенный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(ГФ X, ст.432) - 3,2; 5. Натрий углекислый (ГОСТ 5100-85Е) - 0,05; 6.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Бромтимоловый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синий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водорастворимый (ТУ 6-09-2086-77) - 0,05; 7.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Агар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микробиологический (ГОСТ 17206) - 9,0±2; 8. Натрия хлорид (ГОСТ 4233-77) - 6,0. Ремонту и обслуживанию не подлежит.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Набор реагентов должен обеспечивать рост тест-штаммов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Salmonella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paratyphi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В506,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Citrobacter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freundii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34/57,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Enterobacter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aerogenes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CCM 2531,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Klebsiella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pneumoniae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K2 NCTC 5055,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Proteus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mirabilis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3177 не позднее 2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сут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Providencia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alcalifaciens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1035-49 не позднее 3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сут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инкубации при температуре (37±1) °С,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Hafnia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alvei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1 не позднее 5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сут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инкубации при температуре (21+1) °С. Отсутствие роста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Proteus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morganii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417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в течение 5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сут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инкубации при температуре (37+1) °С. Фасовка: полиэтиленовая банка по </w:t>
            </w:r>
            <w:r w:rsidRPr="0071665D">
              <w:rPr>
                <w:bCs/>
                <w:kern w:val="1"/>
                <w:sz w:val="20"/>
                <w:szCs w:val="20"/>
                <w:highlight w:val="yellow"/>
                <w:lang w:eastAsia="ar-SA"/>
              </w:rPr>
              <w:t>250 грамм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с инструкцией по применению, паспорт (в комплекте поставки). Производство: РФ. Остаточный срок годности реагента на момент поставки не менее 12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D065B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gramStart"/>
            <w:r w:rsidRPr="0071665D">
              <w:rPr>
                <w:sz w:val="20"/>
                <w:szCs w:val="20"/>
              </w:rPr>
              <w:t>к</w:t>
            </w:r>
            <w:proofErr w:type="gramEnd"/>
            <w:r w:rsidRPr="0071665D">
              <w:rPr>
                <w:sz w:val="20"/>
                <w:szCs w:val="20"/>
              </w:rPr>
              <w:t>г.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9B9E2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0,250</w:t>
            </w:r>
          </w:p>
        </w:tc>
      </w:tr>
      <w:tr w:rsidR="0071665D" w:rsidRPr="0071665D" w14:paraId="45BD017B" w14:textId="77777777" w:rsidTr="0071665D">
        <w:tc>
          <w:tcPr>
            <w:tcW w:w="851" w:type="dxa"/>
            <w:shd w:val="clear" w:color="auto" w:fill="auto"/>
            <w:vAlign w:val="center"/>
          </w:tcPr>
          <w:p w14:paraId="01B72378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D85489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Калия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теллурит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2% р-р</w:t>
            </w:r>
          </w:p>
        </w:tc>
        <w:tc>
          <w:tcPr>
            <w:tcW w:w="9214" w:type="dxa"/>
            <w:shd w:val="clear" w:color="auto" w:fill="auto"/>
          </w:tcPr>
          <w:p w14:paraId="2B2FF07A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Нестерильный 2% раствор калия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теллурита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используется в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бак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.л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>абораториях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в качестве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суплемента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при приготовлении питательных сред. Форма выпуска: в герметично запаянных ампулах из стекла объемом 5 мл, по 10 ампул в коробке из картона с вложенной инструкцией по применению. Содержание калия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теллурита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в 1 мл препарата может колебаться в пределах 0,020±0,002 г. Условия хранения: при температуре +2...10°C в защищенном от воздействия прямых солнечных лучей месте. Полностью соответствует ТУ 9385-010-29508133-2008. Остаточный срок годности на момент поставки не менее 18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294798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spellStart"/>
            <w:r w:rsidRPr="0071665D">
              <w:rPr>
                <w:sz w:val="20"/>
                <w:szCs w:val="20"/>
              </w:rPr>
              <w:t>уп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C72CC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9</w:t>
            </w:r>
          </w:p>
        </w:tc>
      </w:tr>
      <w:tr w:rsidR="0071665D" w:rsidRPr="0071665D" w14:paraId="0A7076B8" w14:textId="77777777" w:rsidTr="0071665D">
        <w:tc>
          <w:tcPr>
            <w:tcW w:w="851" w:type="dxa"/>
            <w:shd w:val="clear" w:color="auto" w:fill="auto"/>
            <w:vAlign w:val="center"/>
          </w:tcPr>
          <w:p w14:paraId="7EEEB1CF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84225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Плазма кроличья</w:t>
            </w:r>
          </w:p>
        </w:tc>
        <w:tc>
          <w:tcPr>
            <w:tcW w:w="9214" w:type="dxa"/>
            <w:shd w:val="clear" w:color="auto" w:fill="auto"/>
          </w:tcPr>
          <w:p w14:paraId="717E4727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Плазма кроличья цитратная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лиофилизированная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стерильная для видовой идентификации стафилококков постановкой реакции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плазмокоагуляции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Метод основан на свертывании фибрина цитратной плазмы под воздействием фермента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плазмокоагулазы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патогенных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стафилококов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.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Исследуемые образцы - выделенные культуры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Staphylococcus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spp</w:t>
            </w:r>
            <w:proofErr w:type="spell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. на плотных питательных средах. Плазма получена из крови </w:t>
            </w: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кролика смешиванием с лимоннокислым натрием. Сухая, стерильная. Представляет собой мелкопористую рыхлую бело-розовую таблетку, легкорастворимую в 0,9% растворе хлорида натрия. Растворенный препарат - прозрачная или слегка опалесцирующая жидкость </w:t>
            </w:r>
            <w:proofErr w:type="gramStart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от</w:t>
            </w:r>
            <w:proofErr w:type="gramEnd"/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 xml:space="preserve"> желтого до розового цвета. Форма выпуска: флаконы, содержащие лиофилизат для приготовления 1 мл плазмы. Упаковка: по 10 флаконов вместе с инструкцией по применению в картонной пачке. Условия хранения: при температуре +2...8°C в сухом, защищенном от прямых солнечных лучей месте. Соответствие требованиям ТУ 9389-082-70423725-2007. Остаточный срок годности на момент поставки не менее 18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C8879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lastRenderedPageBreak/>
              <w:t> </w:t>
            </w:r>
            <w:proofErr w:type="spellStart"/>
            <w:r w:rsidRPr="0071665D">
              <w:rPr>
                <w:sz w:val="20"/>
                <w:szCs w:val="20"/>
              </w:rPr>
              <w:t>уп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C539E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10</w:t>
            </w:r>
          </w:p>
        </w:tc>
      </w:tr>
      <w:tr w:rsidR="0071665D" w:rsidRPr="0071665D" w14:paraId="1D0669D4" w14:textId="77777777" w:rsidTr="0071665D">
        <w:tc>
          <w:tcPr>
            <w:tcW w:w="851" w:type="dxa"/>
            <w:shd w:val="clear" w:color="auto" w:fill="auto"/>
            <w:vAlign w:val="center"/>
          </w:tcPr>
          <w:p w14:paraId="17872BAA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A2E2CA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Сыворотка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сальмонеллезная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АВСДЕ поливалентная</w:t>
            </w:r>
          </w:p>
        </w:tc>
        <w:tc>
          <w:tcPr>
            <w:tcW w:w="9214" w:type="dxa"/>
            <w:shd w:val="clear" w:color="auto" w:fill="auto"/>
          </w:tcPr>
          <w:p w14:paraId="7EE3248A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71665D">
              <w:rPr>
                <w:snapToGrid w:val="0"/>
                <w:sz w:val="20"/>
                <w:szCs w:val="20"/>
              </w:rPr>
              <w:t>Поливалентная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О-сыворотка, адсорбированная для реакции агглютинации (РА), полученная из крови кроликов, содержащая O-антитела к антигенам основных групп сальмонелл. Серологическая идентификация бактерий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Salmonella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spp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. по схеме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Кауффмана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-Уайта в реакции агглютинации на стекле без дальнейшего разведения. Поливалентные сыворотки основных групп (A, B, C, D, E) содержат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О-антитела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 против антигенов 1; 2; 3; 4; 5; 61; 62; 7; 8; 9; 10; 12;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Vi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. Титр специфических антител не ниже 1:40.  Сыворотки по 2 мл,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лиофилизированны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. Гомогенный порошок кремового цвета, гигроскопичен. Фасовка: ампулы вместимостью 5 мл, герметично запаяны. Наличие инструкции по применению, сокращенной схемы антигенной структуры бактерий рода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Salmonella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, ампульный нож. Условия хранения: в сухом темном помещении при температуре от +4 до 10°C. Остаточный срок годности на момент поставки каждой серии иммуноглобулинов сухих не менее 32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FDB512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</w:t>
            </w:r>
            <w:proofErr w:type="spellStart"/>
            <w:r w:rsidRPr="0071665D">
              <w:rPr>
                <w:sz w:val="20"/>
                <w:szCs w:val="20"/>
              </w:rPr>
              <w:t>амп</w:t>
            </w:r>
            <w:proofErr w:type="spellEnd"/>
            <w:r w:rsidRPr="0071665D">
              <w:rPr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865CF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</w:t>
            </w:r>
          </w:p>
        </w:tc>
      </w:tr>
      <w:tr w:rsidR="0071665D" w:rsidRPr="0071665D" w14:paraId="705A6A72" w14:textId="77777777" w:rsidTr="0071665D">
        <w:tc>
          <w:tcPr>
            <w:tcW w:w="851" w:type="dxa"/>
            <w:shd w:val="clear" w:color="auto" w:fill="auto"/>
            <w:vAlign w:val="center"/>
          </w:tcPr>
          <w:p w14:paraId="1A16A343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82127C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1665D">
              <w:rPr>
                <w:snapToGrid w:val="0"/>
                <w:sz w:val="20"/>
                <w:szCs w:val="20"/>
              </w:rPr>
              <w:t>Диагностикум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эритроцитарный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сальмонеллезный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Vi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- антигенный, жидкий</w:t>
            </w:r>
          </w:p>
        </w:tc>
        <w:tc>
          <w:tcPr>
            <w:tcW w:w="9214" w:type="dxa"/>
            <w:shd w:val="clear" w:color="auto" w:fill="auto"/>
          </w:tcPr>
          <w:p w14:paraId="260C1463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71665D">
              <w:rPr>
                <w:snapToGrid w:val="0"/>
                <w:sz w:val="20"/>
                <w:szCs w:val="20"/>
              </w:rPr>
              <w:t>Диагностикум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сальмонеллезный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эритроцитарный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Ви (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Vi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)-антигенный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жидкий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 xml:space="preserve">, 8 тестов,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микрометод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: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Диагностикум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эритроцитарный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сальмонеллезный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 Ви-антигенный жидкий- 6 мл (1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фл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.) Набор с сывороткой сух. - 0,1 мл (1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фл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.) Взвесь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формалинизированных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 xml:space="preserve">, несенсибилизированных эритроцитов барана 1%– 1 мл (1фл.), раствор натрия хлорида 0,9 %-8 мл. (2 </w:t>
            </w:r>
            <w:proofErr w:type="spellStart"/>
            <w:r w:rsidRPr="0071665D">
              <w:rPr>
                <w:snapToGrid w:val="0"/>
                <w:sz w:val="20"/>
                <w:szCs w:val="20"/>
              </w:rPr>
              <w:t>фл</w:t>
            </w:r>
            <w:proofErr w:type="spellEnd"/>
            <w:r w:rsidRPr="0071665D">
              <w:rPr>
                <w:snapToGrid w:val="0"/>
                <w:sz w:val="20"/>
                <w:szCs w:val="20"/>
              </w:rPr>
              <w:t>.) Планшет круглодонный для иммунологических реакций однократного применения – 1 шт.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6DEAD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набор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95BFA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</w:t>
            </w:r>
          </w:p>
        </w:tc>
      </w:tr>
      <w:tr w:rsidR="0071665D" w:rsidRPr="0071665D" w14:paraId="2CD8C5FE" w14:textId="77777777" w:rsidTr="0071665D">
        <w:tc>
          <w:tcPr>
            <w:tcW w:w="851" w:type="dxa"/>
            <w:shd w:val="clear" w:color="auto" w:fill="auto"/>
            <w:vAlign w:val="center"/>
          </w:tcPr>
          <w:p w14:paraId="57B29571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71665D">
              <w:rPr>
                <w:bCs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1BFDD1" w14:textId="77777777" w:rsidR="0071665D" w:rsidRPr="0071665D" w:rsidRDefault="0071665D" w:rsidP="0071665D">
            <w:pPr>
              <w:widowControl/>
              <w:suppressAutoHyphens/>
              <w:snapToGri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>Чашки Петри, стерильные</w:t>
            </w:r>
          </w:p>
        </w:tc>
        <w:tc>
          <w:tcPr>
            <w:tcW w:w="9214" w:type="dxa"/>
            <w:shd w:val="clear" w:color="auto" w:fill="auto"/>
          </w:tcPr>
          <w:p w14:paraId="41E53F19" w14:textId="77777777" w:rsidR="0071665D" w:rsidRPr="0071665D" w:rsidRDefault="0071665D" w:rsidP="0071665D">
            <w:pPr>
              <w:widowControl/>
              <w:snapToGrid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71665D">
              <w:rPr>
                <w:snapToGrid w:val="0"/>
                <w:sz w:val="20"/>
                <w:szCs w:val="20"/>
              </w:rPr>
              <w:t xml:space="preserve">Чашка Петри одноразовая предназначена для микробиологических исследований. Односекционная. Вентилируемая. Диаметр 90 ± 5 мм. Высота в сборе 14 ± 3 мм. Материал полистирол. Вид упаковки: </w:t>
            </w:r>
            <w:proofErr w:type="gramStart"/>
            <w:r w:rsidRPr="0071665D">
              <w:rPr>
                <w:snapToGrid w:val="0"/>
                <w:sz w:val="20"/>
                <w:szCs w:val="20"/>
              </w:rPr>
              <w:t>стерильная</w:t>
            </w:r>
            <w:proofErr w:type="gramEnd"/>
            <w:r w:rsidRPr="0071665D">
              <w:rPr>
                <w:snapToGrid w:val="0"/>
                <w:sz w:val="20"/>
                <w:szCs w:val="20"/>
              </w:rPr>
              <w:t>. Упаковка: 10 шт. Остаточный срок годности на момент поставки не менее 18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28BCF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 шт.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A42FD" w14:textId="77777777" w:rsidR="0071665D" w:rsidRPr="0071665D" w:rsidRDefault="0071665D" w:rsidP="0071665D">
            <w:pPr>
              <w:widowControl/>
              <w:snapToGrid/>
              <w:ind w:firstLine="0"/>
              <w:jc w:val="center"/>
              <w:rPr>
                <w:sz w:val="20"/>
                <w:szCs w:val="20"/>
              </w:rPr>
            </w:pPr>
            <w:r w:rsidRPr="0071665D">
              <w:rPr>
                <w:sz w:val="20"/>
                <w:szCs w:val="20"/>
              </w:rPr>
              <w:t>1 600</w:t>
            </w:r>
          </w:p>
        </w:tc>
      </w:tr>
    </w:tbl>
    <w:p w14:paraId="3A80C304" w14:textId="77777777" w:rsidR="00AD1745" w:rsidRDefault="00AD1745" w:rsidP="00BA29B1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29D9A0E" w14:textId="5B4D8178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Часть 6.1. статьи 3  Федерального закона от 18.07.20</w:t>
      </w:r>
      <w:r w:rsidR="00252CC4" w:rsidRPr="0092195F">
        <w:rPr>
          <w:sz w:val="18"/>
          <w:szCs w:val="18"/>
        </w:rPr>
        <w:t xml:space="preserve">11 N 223-ФЗ </w:t>
      </w:r>
      <w:r w:rsidRPr="0092195F">
        <w:rPr>
          <w:sz w:val="18"/>
          <w:szCs w:val="18"/>
        </w:rPr>
        <w:t xml:space="preserve"> "О закупках товаров, работ, услуг отдельными видами юридических лиц":</w:t>
      </w:r>
    </w:p>
    <w:p w14:paraId="332BD3D8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«˂….3) в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14:paraId="336AC742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 xml:space="preserve">         а)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заказчиком…˃»</w:t>
      </w:r>
    </w:p>
    <w:p w14:paraId="226AF4E3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1. Участник размещения заказа вправе  предложить любое количество  товара   в потребительской упаковке, при этом количество упаковок к поставке пересчитывается соответственно объему (не менее), заявленному Заказчиком, без нарушения потребительской упаковки.</w:t>
      </w:r>
    </w:p>
    <w:p w14:paraId="7C416DFF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 xml:space="preserve">2. Товар по качеству должен соответствовать требованиям действующих государственных стандартов и технических условий, установленных к данному виду продукции и удостоверяться сертификатом соответствия (паспортом качества) или сведениями о декларации, о соответствии. Копии документов, подтверждающих соответствие поставляемого товара установленным требованиям, прилагаются к каждой партии товара.  </w:t>
      </w:r>
    </w:p>
    <w:p w14:paraId="413D6958" w14:textId="7525BF0D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3.Тара и упаковка: Тара соответствует ГОСТу и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нарушается оригинальная тара и упаковка. Тара и упаковка легко открываема и в дальнейшем, после вскрытия. Сохраняет вышеуказанные свойства, в том числе и в случаях вскрытия при сдаче-приемке товара.</w:t>
      </w:r>
    </w:p>
    <w:p w14:paraId="23B69137" w14:textId="77777777" w:rsidR="00450E9B" w:rsidRPr="00694885" w:rsidRDefault="00450E9B" w:rsidP="00356426">
      <w:pPr>
        <w:ind w:left="-1276" w:right="141" w:firstLine="0"/>
        <w:jc w:val="both"/>
        <w:rPr>
          <w:sz w:val="21"/>
          <w:szCs w:val="21"/>
        </w:rPr>
      </w:pPr>
    </w:p>
    <w:p w14:paraId="0A716DDA" w14:textId="77777777" w:rsidR="00A73647" w:rsidRDefault="00450E9B" w:rsidP="00AF1AE2">
      <w:pPr>
        <w:ind w:right="141" w:firstLine="0"/>
        <w:rPr>
          <w:sz w:val="21"/>
          <w:szCs w:val="21"/>
        </w:rPr>
      </w:pPr>
      <w:r w:rsidRPr="00694885">
        <w:rPr>
          <w:sz w:val="21"/>
          <w:szCs w:val="21"/>
        </w:rPr>
        <w:t xml:space="preserve">       </w:t>
      </w:r>
    </w:p>
    <w:p w14:paraId="49D3161B" w14:textId="77777777" w:rsidR="00BA0D0E" w:rsidRPr="00694885" w:rsidRDefault="00BA0D0E" w:rsidP="00AF1AE2">
      <w:pPr>
        <w:ind w:right="141" w:firstLine="0"/>
        <w:rPr>
          <w:sz w:val="21"/>
          <w:szCs w:val="21"/>
        </w:rPr>
      </w:pPr>
    </w:p>
    <w:p w14:paraId="58856254" w14:textId="3C8FEA42" w:rsidR="00450E9B" w:rsidRPr="0092195F" w:rsidRDefault="00450E9B" w:rsidP="00AF1AE2">
      <w:pPr>
        <w:ind w:right="141" w:firstLine="0"/>
        <w:rPr>
          <w:sz w:val="18"/>
          <w:szCs w:val="18"/>
        </w:rPr>
      </w:pPr>
      <w:r w:rsidRPr="0092195F">
        <w:rPr>
          <w:sz w:val="18"/>
          <w:szCs w:val="18"/>
        </w:rPr>
        <w:t xml:space="preserve">Руководитель   лабораторной службы      ____________________  Р.Ф. </w:t>
      </w:r>
      <w:proofErr w:type="spellStart"/>
      <w:r w:rsidRPr="0092195F">
        <w:rPr>
          <w:sz w:val="18"/>
          <w:szCs w:val="18"/>
        </w:rPr>
        <w:t>Силунская</w:t>
      </w:r>
      <w:proofErr w:type="spellEnd"/>
    </w:p>
    <w:sectPr w:rsidR="00450E9B" w:rsidRPr="0092195F" w:rsidSect="00727AFC">
      <w:pgSz w:w="16838" w:h="11906" w:orient="landscape"/>
      <w:pgMar w:top="709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24C"/>
    <w:multiLevelType w:val="hybridMultilevel"/>
    <w:tmpl w:val="71F0A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E22C6"/>
    <w:multiLevelType w:val="multilevel"/>
    <w:tmpl w:val="0642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0CE4D50"/>
    <w:multiLevelType w:val="hybridMultilevel"/>
    <w:tmpl w:val="5DFE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6E4D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5BA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A7501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E0"/>
    <w:rsid w:val="00042627"/>
    <w:rsid w:val="00042CE1"/>
    <w:rsid w:val="00073688"/>
    <w:rsid w:val="0007430A"/>
    <w:rsid w:val="00076836"/>
    <w:rsid w:val="000C7B7B"/>
    <w:rsid w:val="000E6432"/>
    <w:rsid w:val="000F3978"/>
    <w:rsid w:val="0010313A"/>
    <w:rsid w:val="001057B0"/>
    <w:rsid w:val="00151A39"/>
    <w:rsid w:val="001608DE"/>
    <w:rsid w:val="00173275"/>
    <w:rsid w:val="001A632E"/>
    <w:rsid w:val="001C5BAD"/>
    <w:rsid w:val="002041AF"/>
    <w:rsid w:val="00225C53"/>
    <w:rsid w:val="00252CC4"/>
    <w:rsid w:val="002629F7"/>
    <w:rsid w:val="0028301E"/>
    <w:rsid w:val="00291F48"/>
    <w:rsid w:val="002A617C"/>
    <w:rsid w:val="002A7E85"/>
    <w:rsid w:val="002D7182"/>
    <w:rsid w:val="00310937"/>
    <w:rsid w:val="00311E27"/>
    <w:rsid w:val="003124AA"/>
    <w:rsid w:val="003173F6"/>
    <w:rsid w:val="00332FFE"/>
    <w:rsid w:val="00342AEF"/>
    <w:rsid w:val="00354EBC"/>
    <w:rsid w:val="00356426"/>
    <w:rsid w:val="003A03BD"/>
    <w:rsid w:val="003A3D35"/>
    <w:rsid w:val="003B68C4"/>
    <w:rsid w:val="004265B8"/>
    <w:rsid w:val="00443AA7"/>
    <w:rsid w:val="00450E9B"/>
    <w:rsid w:val="004653A8"/>
    <w:rsid w:val="00485587"/>
    <w:rsid w:val="004C49AD"/>
    <w:rsid w:val="004F7DA9"/>
    <w:rsid w:val="00503802"/>
    <w:rsid w:val="005958B0"/>
    <w:rsid w:val="005B5EC1"/>
    <w:rsid w:val="005E01EE"/>
    <w:rsid w:val="005F14C3"/>
    <w:rsid w:val="00612194"/>
    <w:rsid w:val="0063180E"/>
    <w:rsid w:val="00674044"/>
    <w:rsid w:val="006744E0"/>
    <w:rsid w:val="00694885"/>
    <w:rsid w:val="006E5A62"/>
    <w:rsid w:val="006E5EE6"/>
    <w:rsid w:val="0071665D"/>
    <w:rsid w:val="00724D76"/>
    <w:rsid w:val="00727AFC"/>
    <w:rsid w:val="007659ED"/>
    <w:rsid w:val="007708AC"/>
    <w:rsid w:val="00793643"/>
    <w:rsid w:val="007C0C21"/>
    <w:rsid w:val="007D32E8"/>
    <w:rsid w:val="007E046C"/>
    <w:rsid w:val="007E17F3"/>
    <w:rsid w:val="007F5782"/>
    <w:rsid w:val="008357AF"/>
    <w:rsid w:val="00851D80"/>
    <w:rsid w:val="008633B7"/>
    <w:rsid w:val="008A435B"/>
    <w:rsid w:val="008C596E"/>
    <w:rsid w:val="0092195F"/>
    <w:rsid w:val="009401A2"/>
    <w:rsid w:val="00943B7F"/>
    <w:rsid w:val="00967BD3"/>
    <w:rsid w:val="009A2D4A"/>
    <w:rsid w:val="00A323C9"/>
    <w:rsid w:val="00A51C21"/>
    <w:rsid w:val="00A73647"/>
    <w:rsid w:val="00AA6195"/>
    <w:rsid w:val="00AB3C6B"/>
    <w:rsid w:val="00AC1874"/>
    <w:rsid w:val="00AC2035"/>
    <w:rsid w:val="00AC63D9"/>
    <w:rsid w:val="00AD1745"/>
    <w:rsid w:val="00AF1AE2"/>
    <w:rsid w:val="00AF5E64"/>
    <w:rsid w:val="00B34D83"/>
    <w:rsid w:val="00B446E3"/>
    <w:rsid w:val="00B57AC5"/>
    <w:rsid w:val="00B6447E"/>
    <w:rsid w:val="00BA0D0E"/>
    <w:rsid w:val="00BA277C"/>
    <w:rsid w:val="00BA29B1"/>
    <w:rsid w:val="00BA2B8C"/>
    <w:rsid w:val="00BB51D7"/>
    <w:rsid w:val="00BC3AD9"/>
    <w:rsid w:val="00BE646E"/>
    <w:rsid w:val="00BE6D83"/>
    <w:rsid w:val="00C24A0A"/>
    <w:rsid w:val="00C342E5"/>
    <w:rsid w:val="00CA0A6E"/>
    <w:rsid w:val="00CA1BEE"/>
    <w:rsid w:val="00CB3B1A"/>
    <w:rsid w:val="00CB4BC7"/>
    <w:rsid w:val="00CB4E91"/>
    <w:rsid w:val="00CC620F"/>
    <w:rsid w:val="00CD0550"/>
    <w:rsid w:val="00CD6D4F"/>
    <w:rsid w:val="00CE58C9"/>
    <w:rsid w:val="00CF189F"/>
    <w:rsid w:val="00D14022"/>
    <w:rsid w:val="00D24A11"/>
    <w:rsid w:val="00D6177C"/>
    <w:rsid w:val="00D801CE"/>
    <w:rsid w:val="00D9535B"/>
    <w:rsid w:val="00DA387D"/>
    <w:rsid w:val="00DA62FE"/>
    <w:rsid w:val="00DC7A34"/>
    <w:rsid w:val="00DF3A8A"/>
    <w:rsid w:val="00DF48D9"/>
    <w:rsid w:val="00E06600"/>
    <w:rsid w:val="00E1364D"/>
    <w:rsid w:val="00E34F94"/>
    <w:rsid w:val="00E3578A"/>
    <w:rsid w:val="00E46B95"/>
    <w:rsid w:val="00E6549E"/>
    <w:rsid w:val="00E75EAB"/>
    <w:rsid w:val="00E77377"/>
    <w:rsid w:val="00ED0747"/>
    <w:rsid w:val="00EF45B8"/>
    <w:rsid w:val="00EF5B04"/>
    <w:rsid w:val="00F04EC8"/>
    <w:rsid w:val="00F14CD1"/>
    <w:rsid w:val="00F15C64"/>
    <w:rsid w:val="00F63638"/>
    <w:rsid w:val="00F9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51D8-6A30-4306-851B-05228AAE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Чусовитина Елена Васильевна</cp:lastModifiedBy>
  <cp:revision>41</cp:revision>
  <cp:lastPrinted>2023-11-13T03:37:00Z</cp:lastPrinted>
  <dcterms:created xsi:type="dcterms:W3CDTF">2022-11-28T09:02:00Z</dcterms:created>
  <dcterms:modified xsi:type="dcterms:W3CDTF">2024-02-09T06:34:00Z</dcterms:modified>
</cp:coreProperties>
</file>