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3E16B261" w14:textId="77777777" w:rsidR="00B9726C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07C5F986" w14:textId="77777777" w:rsidR="00B736BD" w:rsidRDefault="00B736B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64CF04DB" w:rsidR="00B736BD" w:rsidRPr="00761249" w:rsidRDefault="00355039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355039">
              <w:rPr>
                <w:rFonts w:ascii="Liberation Serif" w:hAnsi="Liberation Serif" w:cs="Times New Roman"/>
              </w:rPr>
              <w:t>ЗКП-2025-000032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DFA14" w14:textId="77777777" w:rsidR="00D97A49" w:rsidRDefault="00D97A49" w:rsidP="00072CFB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ADF98AB" w14:textId="77777777" w:rsidR="00D97A49" w:rsidRDefault="00D97A49" w:rsidP="00072CFB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B466A45" w14:textId="07CA4D90" w:rsidR="00F16720" w:rsidRPr="00F16720" w:rsidRDefault="00F60864" w:rsidP="00072CFB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59F03B01" w14:textId="77777777" w:rsidR="00072CFB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992"/>
        <w:gridCol w:w="851"/>
        <w:gridCol w:w="2522"/>
        <w:gridCol w:w="568"/>
        <w:gridCol w:w="850"/>
        <w:gridCol w:w="3998"/>
      </w:tblGrid>
      <w:tr w:rsidR="00D94B7E" w:rsidRPr="00D94B7E" w14:paraId="185F2F0D" w14:textId="77777777" w:rsidTr="00D94B7E">
        <w:trPr>
          <w:trHeight w:val="522"/>
        </w:trPr>
        <w:tc>
          <w:tcPr>
            <w:tcW w:w="597" w:type="dxa"/>
            <w:noWrap/>
          </w:tcPr>
          <w:p w14:paraId="2582C8F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2" w:type="dxa"/>
          </w:tcPr>
          <w:p w14:paraId="25657BC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Код ОКПД</w:t>
            </w:r>
          </w:p>
        </w:tc>
        <w:tc>
          <w:tcPr>
            <w:tcW w:w="851" w:type="dxa"/>
            <w:noWrap/>
          </w:tcPr>
          <w:p w14:paraId="414A9AB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2522" w:type="dxa"/>
            <w:noWrap/>
          </w:tcPr>
          <w:p w14:paraId="661F6B3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ind w:right="25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8" w:type="dxa"/>
            <w:noWrap/>
          </w:tcPr>
          <w:p w14:paraId="5E6161B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noWrap/>
          </w:tcPr>
          <w:p w14:paraId="58EF8F6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98" w:type="dxa"/>
            <w:noWrap/>
          </w:tcPr>
          <w:p w14:paraId="795DA3B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D94B7E" w:rsidRPr="00D94B7E" w14:paraId="5ACD56D2" w14:textId="77777777" w:rsidTr="00D94B7E">
        <w:trPr>
          <w:trHeight w:val="672"/>
        </w:trPr>
        <w:tc>
          <w:tcPr>
            <w:tcW w:w="597" w:type="dxa"/>
            <w:noWrap/>
          </w:tcPr>
          <w:p w14:paraId="169CD1C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92880C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41E1490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55902                    </w:t>
            </w:r>
          </w:p>
        </w:tc>
        <w:tc>
          <w:tcPr>
            <w:tcW w:w="2522" w:type="dxa"/>
          </w:tcPr>
          <w:p w14:paraId="7ABC741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Bacitracin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Test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-диски с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бацитрацином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- 2 х15</w:t>
            </w:r>
          </w:p>
        </w:tc>
        <w:tc>
          <w:tcPr>
            <w:tcW w:w="568" w:type="dxa"/>
            <w:noWrap/>
          </w:tcPr>
          <w:p w14:paraId="2ABEF75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</w:tcPr>
          <w:p w14:paraId="7B24969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45B2A0C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Бацитрациновые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диски предназначены для использования в клинических лабораториях для дифференциации β-гемолитических стрептококков группы А (по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Лэнсфилду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от β-гемолитических стрептококков других групп. </w:t>
            </w:r>
          </w:p>
          <w:p w14:paraId="70CE146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Фасовка: 2 тубы по 15 дисков (6 мм) + 1 инструкция</w:t>
            </w:r>
          </w:p>
          <w:p w14:paraId="2CF1C32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Расчетный состав в единицах на диск:</w:t>
            </w:r>
          </w:p>
          <w:p w14:paraId="51D7B1D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Бацитрацин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- 0.8</w:t>
            </w:r>
          </w:p>
        </w:tc>
      </w:tr>
      <w:tr w:rsidR="00D94B7E" w:rsidRPr="00D94B7E" w14:paraId="02EA7547" w14:textId="77777777" w:rsidTr="00D94B7E">
        <w:trPr>
          <w:trHeight w:val="672"/>
        </w:trPr>
        <w:tc>
          <w:tcPr>
            <w:tcW w:w="597" w:type="dxa"/>
            <w:noWrap/>
          </w:tcPr>
          <w:p w14:paraId="1288A37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EF3B24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060BCB9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412488 </w:t>
            </w:r>
          </w:p>
        </w:tc>
        <w:tc>
          <w:tcPr>
            <w:tcW w:w="2522" w:type="dxa"/>
          </w:tcPr>
          <w:p w14:paraId="0D8DA89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Etest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 VANKOMYCIN -E-тест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ванкомицин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256,30 тестов, индивидуальная упаковка</w:t>
            </w:r>
          </w:p>
        </w:tc>
        <w:tc>
          <w:tcPr>
            <w:tcW w:w="568" w:type="dxa"/>
            <w:noWrap/>
          </w:tcPr>
          <w:p w14:paraId="0E884DD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1E1F0D6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2852935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Назначение: используются в клинических лабораториях для количественного определения чувствительности микроорганизмов к антимикробным препаратам.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Форма выпуска: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стрипы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 стабилизированным антимикробным препаратом.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Материал: инертный непористый пластик с нанесенной шкалой концентраций и кодом антимикробного препарата.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Антимикробный препарат, нанесенный на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стрип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Ванкомицин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Концентрация антимикробного препарата: в диапазоне 0,016-256 мкг/мл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Количество тестов в упаковке: 30 тестов.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Тип упаковки: пенопластовый картридж, вложенный в пакет из фольги вместе с поглотителем влаги.</w:t>
            </w:r>
          </w:p>
        </w:tc>
      </w:tr>
      <w:tr w:rsidR="00D94B7E" w:rsidRPr="00D94B7E" w14:paraId="5519767B" w14:textId="77777777" w:rsidTr="00D94B7E">
        <w:trPr>
          <w:trHeight w:val="672"/>
        </w:trPr>
        <w:tc>
          <w:tcPr>
            <w:tcW w:w="597" w:type="dxa"/>
            <w:noWrap/>
          </w:tcPr>
          <w:p w14:paraId="77A1D90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70F5F7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43CD860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92079</w:t>
            </w:r>
          </w:p>
        </w:tc>
        <w:tc>
          <w:tcPr>
            <w:tcW w:w="2522" w:type="dxa"/>
          </w:tcPr>
          <w:p w14:paraId="3E9BD72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Наборы реагентов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vitro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микробиологических исследований: Система МИК Тест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Стрип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(MIC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Test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Strip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для определения минимальной ингибирующей концентрации антибиотиков для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грам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-негативных бактерий: 54.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Фосфомицин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Fosfomycin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FOS 0.064-1024. 30 тестов</w:t>
            </w:r>
          </w:p>
        </w:tc>
        <w:tc>
          <w:tcPr>
            <w:tcW w:w="568" w:type="dxa"/>
            <w:noWrap/>
          </w:tcPr>
          <w:p w14:paraId="7B99720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noWrap/>
          </w:tcPr>
          <w:p w14:paraId="48B8F46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7A84D62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Наборы реагентов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vitro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микробиологических исследований: Система МИК Тест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Стрип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(MIC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Test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Strip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для определения минимальной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ингибирующей концентрации антибиотиков для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грам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-негативных бактерий: 54.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Фосфомицин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Fosfomycin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FOS 0.064-1024. 30 тестов</w:t>
            </w:r>
          </w:p>
        </w:tc>
      </w:tr>
      <w:tr w:rsidR="00D94B7E" w:rsidRPr="00D94B7E" w14:paraId="4D1F2602" w14:textId="77777777" w:rsidTr="00D94B7E">
        <w:trPr>
          <w:trHeight w:val="672"/>
        </w:trPr>
        <w:tc>
          <w:tcPr>
            <w:tcW w:w="597" w:type="dxa"/>
            <w:noWrap/>
          </w:tcPr>
          <w:p w14:paraId="4CE3298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14:paraId="41BCAF2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7E9945B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412265</w:t>
            </w:r>
          </w:p>
        </w:tc>
        <w:tc>
          <w:tcPr>
            <w:tcW w:w="2522" w:type="dxa"/>
          </w:tcPr>
          <w:p w14:paraId="5914345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Etest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PG BENZYLPENICILLIN -Е-тест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бензилпенициллин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(низкая концентрация) 32, 30 тестов</w:t>
            </w:r>
          </w:p>
        </w:tc>
        <w:tc>
          <w:tcPr>
            <w:tcW w:w="568" w:type="dxa"/>
            <w:noWrap/>
          </w:tcPr>
          <w:p w14:paraId="772852D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60FF7B5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98" w:type="dxa"/>
          </w:tcPr>
          <w:p w14:paraId="442AB1A9" w14:textId="77777777" w:rsidR="00D94B7E" w:rsidRPr="00D94B7E" w:rsidRDefault="00D94B7E" w:rsidP="00D94B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E-тест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бензилпенициллин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(низкая концентрация) предназначен для использования в клинических лабораториях с целью количественного определения чувствительности микроорганизмов к антимикробным препаратам.</w:t>
            </w:r>
          </w:p>
          <w:p w14:paraId="34EE7511" w14:textId="77777777" w:rsidR="00D94B7E" w:rsidRPr="00D94B7E" w:rsidRDefault="00D94B7E" w:rsidP="00D94B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Форма выпуска: тест-полоски со стабилизированным антимикробным препаратом.</w:t>
            </w:r>
          </w:p>
          <w:p w14:paraId="3B0DCA65" w14:textId="77777777" w:rsidR="00D94B7E" w:rsidRPr="00D94B7E" w:rsidRDefault="00D94B7E" w:rsidP="00D94B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тест-полосок: инертный непористый пластик с нанесенной шкалой концентраций и кодом антимикробного препарата.</w:t>
            </w:r>
          </w:p>
          <w:p w14:paraId="1B1A4788" w14:textId="77777777" w:rsidR="00D94B7E" w:rsidRPr="00D94B7E" w:rsidRDefault="00D94B7E" w:rsidP="00D94B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Антимикробный препарат, нанесенный на тест-полоски: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бензилпенициллин</w:t>
            </w:r>
            <w:proofErr w:type="spellEnd"/>
          </w:p>
          <w:p w14:paraId="5A36E0C8" w14:textId="77777777" w:rsidR="00D94B7E" w:rsidRPr="00D94B7E" w:rsidRDefault="00D94B7E" w:rsidP="00D94B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Концентрация антимикробного препарата: 0,002 - 32 мкг/мл</w:t>
            </w:r>
          </w:p>
          <w:p w14:paraId="065A313A" w14:textId="77777777" w:rsidR="00D94B7E" w:rsidRPr="00D94B7E" w:rsidRDefault="00D94B7E" w:rsidP="00D94B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Состав набора: тест-полоски в индивидуальных упаковках - 30 шт.</w:t>
            </w:r>
          </w:p>
        </w:tc>
      </w:tr>
      <w:tr w:rsidR="00D94B7E" w:rsidRPr="00D94B7E" w14:paraId="3F8FA4D3" w14:textId="77777777" w:rsidTr="00D94B7E">
        <w:trPr>
          <w:trHeight w:val="672"/>
        </w:trPr>
        <w:tc>
          <w:tcPr>
            <w:tcW w:w="597" w:type="dxa"/>
            <w:noWrap/>
          </w:tcPr>
          <w:p w14:paraId="3F01ED7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7FF1CA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0FA541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60780</w:t>
            </w:r>
          </w:p>
        </w:tc>
        <w:tc>
          <w:tcPr>
            <w:tcW w:w="2522" w:type="dxa"/>
          </w:tcPr>
          <w:p w14:paraId="3E79872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Фунгитест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(10 тестов)</w:t>
            </w:r>
          </w:p>
        </w:tc>
        <w:tc>
          <w:tcPr>
            <w:tcW w:w="568" w:type="dxa"/>
            <w:noWrap/>
          </w:tcPr>
          <w:p w14:paraId="5743640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4F61072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585B6BBB" w14:textId="77777777" w:rsidR="00D94B7E" w:rsidRPr="00D94B7E" w:rsidRDefault="00D94B7E" w:rsidP="00D94B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Быстрый колориметрический тест для определения чувствительности грибов к 6 антигрибковым препаратам методом разведений в бульоне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break-point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тестов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</w:t>
            </w:r>
          </w:p>
          <w:p w14:paraId="4640D09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Антигрибковые препараты: 5-Фторцитозин,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Амфотерицин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Миконазол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Кетоконазол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Итроконазол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Флюконазол</w:t>
            </w:r>
            <w:proofErr w:type="spellEnd"/>
            <w:proofErr w:type="gramEnd"/>
          </w:p>
        </w:tc>
      </w:tr>
      <w:tr w:rsidR="00D94B7E" w:rsidRPr="00D94B7E" w14:paraId="2060E452" w14:textId="77777777" w:rsidTr="00D94B7E">
        <w:trPr>
          <w:trHeight w:val="672"/>
        </w:trPr>
        <w:tc>
          <w:tcPr>
            <w:tcW w:w="597" w:type="dxa"/>
            <w:noWrap/>
          </w:tcPr>
          <w:p w14:paraId="04B2F65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0A035B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7D39F22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61607                    </w:t>
            </w:r>
          </w:p>
        </w:tc>
        <w:tc>
          <w:tcPr>
            <w:tcW w:w="2522" w:type="dxa"/>
          </w:tcPr>
          <w:p w14:paraId="330C2E0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ПАСТОРЕКС МЕНИНГИТИС (PASTOREX MENINGITIS) 25 тестов</w:t>
            </w:r>
          </w:p>
        </w:tc>
        <w:tc>
          <w:tcPr>
            <w:tcW w:w="568" w:type="dxa"/>
            <w:noWrap/>
          </w:tcPr>
          <w:p w14:paraId="754F2E5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</w:tcPr>
          <w:p w14:paraId="79B1B15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30ED72F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Назначение: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идентификация 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Neisseria</w:t>
            </w:r>
            <w:proofErr w:type="spellEnd"/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meningitidis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A, C, Y/W 135, B/E.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coli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K1,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Haemophilus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influenzae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b,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Streptococcus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pneumoniae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Streptococcus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B методом латексной агглютинации. Количество тестов – 25. Состав набора: 1 флакон с 0,4 мл красного латекса сенсибилизированного мышиными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моноклональными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антителами, специфичными 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Neisseria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meningitidis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 B/E.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coli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K1;  1 флакон с 0,4 мл красного латекса сенсибилизированного мышиными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моноклональными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антителами специфичными в столбнячному токсину; 1 флакон с 0,4 мл белого латекса сенсибилизированного кроличьими антителами специфичными 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Haemophilus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influenzae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b; 1 флакон с 0,4 мл зеленого латекса сенсибилизированного кроличьими антителами специфичными 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Streptococcus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pneumoniae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; 1 флакон с 0,4 мл желтого латекса сенсибилизированного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кроличьимиантителами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специфичными с стрептококкам группы В; 1 флакон с 0,4 мл синего латекса сенсибилизированного кроличьими антителами специфичными 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Neisseria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meningitidis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A; 1 флакон с 0,4 мл красного латекса сенсибилизированного кроличьими антителами специфичными  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Neisseria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meningitidis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C; 1 флакон с 0,4 мл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розового латекса сенсибилизированного кроличьими антителами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спцифичными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Neisseria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meningitidis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Y/W 135; 1 флакон с 0,4 мл фиолетового латекса сенсибилизированного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иммуноглобулинами от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неиммунизированных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кроликов; поливалентный положительный контроль: лиофильно высушенный антигенный экстракт с полисахаридными антигенами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Neisseria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meningitidis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A, C, Y/W 135, B/E.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coli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K1,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Haemophilus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influenzae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b,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Streptococcus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pneumoniae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Streptococcus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B; одноразовые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агглютинационные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карты; одноразовые палочки для перемешивания. Анализируемый материал - СМЖ, сыворотка, моча, культуры крови. Визуальное считывание результатов.</w:t>
            </w:r>
          </w:p>
        </w:tc>
      </w:tr>
      <w:tr w:rsidR="00D94B7E" w:rsidRPr="00D94B7E" w14:paraId="312F2882" w14:textId="77777777" w:rsidTr="00D94B7E">
        <w:trPr>
          <w:trHeight w:val="672"/>
        </w:trPr>
        <w:tc>
          <w:tcPr>
            <w:tcW w:w="597" w:type="dxa"/>
            <w:noWrap/>
          </w:tcPr>
          <w:p w14:paraId="4023EF2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14:paraId="3D9ADBC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78EE19A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61747</w:t>
            </w:r>
          </w:p>
        </w:tc>
        <w:tc>
          <w:tcPr>
            <w:tcW w:w="2522" w:type="dxa"/>
          </w:tcPr>
          <w:p w14:paraId="615A72D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Реагенты и тест-системы для серологической диагностики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vitro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инфекционных заболеваний: ПАСТОРЕКС КРИПТО ПЛЮС (PASTOREX CRYPTO PLUS)</w:t>
            </w:r>
          </w:p>
        </w:tc>
        <w:tc>
          <w:tcPr>
            <w:tcW w:w="568" w:type="dxa"/>
            <w:noWrap/>
          </w:tcPr>
          <w:p w14:paraId="65F42F8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</w:tcPr>
          <w:p w14:paraId="63CFC87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354B9F6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Назначение: определение растворимого антигена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Cryptococcus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neoformans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биологических жидкостях: сыворотка,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спинно-мозговая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жидкость СМЖ, бронхо-альвеолярный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лаваж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(БАЛ), моча. Количество тестов – 60. Состав набора: 1х1 мл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Cryptococcus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латекса: латексные частицы,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сенсиби-лизированны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моноклональными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антителами 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гликуроноксиломаннану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(мышиными) в глициновом буфере; 1х0,5 мл положительного контроля: очищенный капсульный поли-сахарид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Cryptococcus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neoformans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(концентрация = 200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нг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/мл); 1х10 мл глицин альбуминового буфера, рН 8,2; 2 флакона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лиофилизированного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фермента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проназы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); растворяется в 1,0 мл дистиллированной 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деионизированной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воды; 1х2,0 мл останавливающего раствора (ингибитор фермента); 15 одноразовых карточек для проведения реакции агглютинации; 100 палочек для смешивания. Анализируемый материал: сыворотка, БАЛ; моча;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спинно-мозговая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жидкость. Визуальное считывание результатов.</w:t>
            </w:r>
          </w:p>
        </w:tc>
      </w:tr>
      <w:tr w:rsidR="00D94B7E" w:rsidRPr="00D94B7E" w14:paraId="733589EA" w14:textId="77777777" w:rsidTr="00D94B7E">
        <w:trPr>
          <w:trHeight w:val="672"/>
        </w:trPr>
        <w:tc>
          <w:tcPr>
            <w:tcW w:w="597" w:type="dxa"/>
            <w:noWrap/>
          </w:tcPr>
          <w:p w14:paraId="7931C0E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4C1D77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20.59.52.199</w:t>
            </w:r>
          </w:p>
        </w:tc>
        <w:tc>
          <w:tcPr>
            <w:tcW w:w="851" w:type="dxa"/>
          </w:tcPr>
          <w:p w14:paraId="1B74257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R30859001</w:t>
            </w:r>
          </w:p>
        </w:tc>
        <w:tc>
          <w:tcPr>
            <w:tcW w:w="2522" w:type="dxa"/>
          </w:tcPr>
          <w:p w14:paraId="51CEC86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Наборы реагентов для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vitro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диагностики микроорганизмов методом латексной </w:t>
            </w:r>
            <w:proofErr w:type="spellStart"/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агглютинации:Набор</w:t>
            </w:r>
            <w:proofErr w:type="spellEnd"/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Wellcogen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определения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pneumoniaе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Wellcogen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pneumoniae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), 30 тестов</w:t>
            </w:r>
          </w:p>
        </w:tc>
        <w:tc>
          <w:tcPr>
            <w:tcW w:w="568" w:type="dxa"/>
            <w:noWrap/>
          </w:tcPr>
          <w:p w14:paraId="04EC219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71D2755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98" w:type="dxa"/>
          </w:tcPr>
          <w:p w14:paraId="31EBE39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 для прямой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детекции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капсулярного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антигена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pneumoniae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жидкостях тела.</w:t>
            </w:r>
          </w:p>
          <w:p w14:paraId="4186199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 должен проводить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детекцию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возбудителя в СМЖ, моче,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гемокультуре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сыворотке.</w:t>
            </w:r>
          </w:p>
          <w:p w14:paraId="5091005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 набора, не менее: </w:t>
            </w:r>
          </w:p>
          <w:p w14:paraId="65C5CEF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Латексный реагент 1 бутылочка с дозатором. Латексные частицы покрыты кроличьими антителами к антигенам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pneumoniaе</w:t>
            </w:r>
            <w:proofErr w:type="spellEnd"/>
          </w:p>
          <w:p w14:paraId="70A17B4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2. Латексный контрольный реагент 1 бутылочка с дозатором. Частицы латекса покрыты соответствующим препаратом кроличьего глобулина</w:t>
            </w:r>
          </w:p>
          <w:p w14:paraId="7E03FAD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Поливалентный положительный контроль 1 бутылочка.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Лиофилизированные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бактериальные экстракты, содержащие антигены из репрезентативных штаммов вида бактерий,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которых предоставляется латекс</w:t>
            </w:r>
          </w:p>
          <w:p w14:paraId="79BAB0B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Отрицательный контроль 1 бутылочка с дозатором. Глицин-солевой буфер,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pH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8.2</w:t>
            </w:r>
          </w:p>
          <w:p w14:paraId="0A19652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5. Одноразовые реакционные карточки 1 упаковка</w:t>
            </w:r>
          </w:p>
          <w:p w14:paraId="0B49229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6. Одноразовые палочки для смешивания 2 комплекта</w:t>
            </w:r>
          </w:p>
          <w:p w14:paraId="0FC1BE6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7. Одноразовые дозаторы 1 контейнер</w:t>
            </w:r>
          </w:p>
          <w:p w14:paraId="16B20EF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8. Инструкция по применению</w:t>
            </w:r>
          </w:p>
          <w:p w14:paraId="47F5179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тестов в наборе: не менее 30 тестов</w:t>
            </w:r>
          </w:p>
          <w:p w14:paraId="20979B8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Минимальный гарантированный срок годности: 6 месяцев</w:t>
            </w:r>
          </w:p>
        </w:tc>
      </w:tr>
      <w:tr w:rsidR="00D94B7E" w:rsidRPr="00D94B7E" w14:paraId="1CD8441C" w14:textId="77777777" w:rsidTr="00D94B7E">
        <w:trPr>
          <w:trHeight w:val="672"/>
        </w:trPr>
        <w:tc>
          <w:tcPr>
            <w:tcW w:w="597" w:type="dxa"/>
            <w:noWrap/>
          </w:tcPr>
          <w:p w14:paraId="67F8BEF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14:paraId="4CC38F7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20.59.52.199</w:t>
            </w:r>
          </w:p>
        </w:tc>
        <w:tc>
          <w:tcPr>
            <w:tcW w:w="851" w:type="dxa"/>
          </w:tcPr>
          <w:p w14:paraId="0563410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14:paraId="4BC2E5B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 реагентов для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vitro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диагностики микроорганизмов методом латексной ко-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аглютинации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Набор для диагностики стрептококков групп A, B,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C,  G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noWrap/>
          </w:tcPr>
          <w:p w14:paraId="0EF26E9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</w:tcPr>
          <w:p w14:paraId="0589BF6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98" w:type="dxa"/>
          </w:tcPr>
          <w:p w14:paraId="107F668C" w14:textId="77777777" w:rsidR="00D94B7E" w:rsidRPr="00D94B7E" w:rsidRDefault="00D94B7E" w:rsidP="00D94B7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94B7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Наборы реагентов предназначен для идентификации стрептококков групп </w:t>
            </w:r>
            <w:r w:rsidRPr="00D9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A, B, C, G </w:t>
            </w:r>
            <w:r w:rsidRPr="00D94B7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выделенных от больных и носителей, в реакции </w:t>
            </w:r>
            <w:proofErr w:type="spellStart"/>
            <w:r w:rsidRPr="00D94B7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коагглютинации</w:t>
            </w:r>
            <w:proofErr w:type="spellEnd"/>
            <w:r w:rsidRPr="00D94B7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</w:t>
            </w:r>
          </w:p>
          <w:p w14:paraId="028DC3D5" w14:textId="77777777" w:rsidR="00D94B7E" w:rsidRPr="00D94B7E" w:rsidRDefault="00D94B7E" w:rsidP="00D94B7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94B7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Рассчитаны на проведение 50 анализов</w:t>
            </w:r>
          </w:p>
          <w:p w14:paraId="139E73FC" w14:textId="77777777" w:rsidR="00D94B7E" w:rsidRPr="00D94B7E" w:rsidRDefault="00D94B7E" w:rsidP="00D94B7E">
            <w:pPr>
              <w:widowControl w:val="0"/>
              <w:shd w:val="clear" w:color="auto" w:fill="FFFFFF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spellStart"/>
            <w:r w:rsidRPr="00D94B7E">
              <w:rPr>
                <w:rFonts w:ascii="Times New Roman" w:eastAsia="Times New Roman" w:hAnsi="Times New Roman" w:cs="Times New Roman"/>
                <w:lang w:eastAsia="ru-RU"/>
              </w:rPr>
              <w:t>Диагностикум</w:t>
            </w:r>
            <w:proofErr w:type="spellEnd"/>
            <w:r w:rsidRPr="00D94B7E">
              <w:rPr>
                <w:rFonts w:ascii="Times New Roman" w:eastAsia="Times New Roman" w:hAnsi="Times New Roman" w:cs="Times New Roman"/>
                <w:lang w:eastAsia="ru-RU"/>
              </w:rPr>
              <w:t xml:space="preserve"> в реакции </w:t>
            </w:r>
            <w:proofErr w:type="spellStart"/>
            <w:r w:rsidRPr="00D94B7E">
              <w:rPr>
                <w:rFonts w:ascii="Times New Roman" w:eastAsia="Times New Roman" w:hAnsi="Times New Roman" w:cs="Times New Roman"/>
                <w:lang w:eastAsia="ru-RU"/>
              </w:rPr>
              <w:t>коагглютинации</w:t>
            </w:r>
            <w:proofErr w:type="spellEnd"/>
            <w:r w:rsidRPr="00D94B7E">
              <w:rPr>
                <w:rFonts w:ascii="Times New Roman" w:eastAsia="Times New Roman" w:hAnsi="Times New Roman" w:cs="Times New Roman"/>
                <w:lang w:eastAsia="ru-RU"/>
              </w:rPr>
              <w:t>, жидки</w:t>
            </w:r>
            <w:r w:rsidRPr="00D9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94B7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представляет собой 2,5% взвесь инактивированных клеток 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val="en-US" w:eastAsia="ru-RU"/>
              </w:rPr>
              <w:t>Staphylococcus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val="en-US" w:eastAsia="ru-RU"/>
              </w:rPr>
              <w:t>aureus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val="en-US" w:eastAsia="ru-RU"/>
              </w:rPr>
              <w:t>Cowan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– 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val="en-US" w:eastAsia="ru-RU"/>
              </w:rPr>
              <w:t>I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в разводящем буфере, сенсибилизированных специфическими иммуноглобулинами к соответствующим группоспецифическим полисахаридным антигенам стрептококков групп 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val="en-US" w:eastAsia="ru-RU"/>
              </w:rPr>
              <w:t>A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, 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val="en-US" w:eastAsia="ru-RU"/>
              </w:rPr>
              <w:t>B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, 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val="en-US" w:eastAsia="ru-RU"/>
              </w:rPr>
              <w:t>C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, 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val="en-US" w:eastAsia="ru-RU"/>
              </w:rPr>
              <w:t>G</w:t>
            </w: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. </w:t>
            </w:r>
            <w:proofErr w:type="spellStart"/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Диагностикумы</w:t>
            </w:r>
            <w:proofErr w:type="spellEnd"/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окрашены метиленовым синим. </w:t>
            </w:r>
          </w:p>
          <w:p w14:paraId="40D44777" w14:textId="77777777" w:rsidR="00D94B7E" w:rsidRPr="00D94B7E" w:rsidRDefault="00D94B7E" w:rsidP="00D94B7E">
            <w:pPr>
              <w:widowControl w:val="0"/>
              <w:shd w:val="clear" w:color="auto" w:fill="FFFFFF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94B7E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Дополнительные реагенты: отрицательный контроль, положительный контроль, экстрагирующий раствор №1, экстрагирующий контроль №2</w:t>
            </w:r>
          </w:p>
          <w:p w14:paraId="2AC6849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B7E" w:rsidRPr="00D94B7E" w14:paraId="43C9BB8F" w14:textId="77777777" w:rsidTr="00D94B7E">
        <w:trPr>
          <w:trHeight w:val="672"/>
        </w:trPr>
        <w:tc>
          <w:tcPr>
            <w:tcW w:w="597" w:type="dxa"/>
            <w:noWrap/>
          </w:tcPr>
          <w:p w14:paraId="2FB997B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DFD8A5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20.59.52.199</w:t>
            </w:r>
          </w:p>
        </w:tc>
        <w:tc>
          <w:tcPr>
            <w:tcW w:w="851" w:type="dxa"/>
          </w:tcPr>
          <w:p w14:paraId="02B0FD0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AN0025A</w:t>
            </w:r>
          </w:p>
        </w:tc>
        <w:tc>
          <w:tcPr>
            <w:tcW w:w="2522" w:type="dxa"/>
          </w:tcPr>
          <w:p w14:paraId="5AE8C6A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атмосферной генерации для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vitro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диагностики с принадлежностями. Газ- пакеты для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анаэростата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2.5 л для анаэробов,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AnaeroGen</w:t>
            </w:r>
            <w:proofErr w:type="spellEnd"/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10 шт.</w:t>
            </w:r>
          </w:p>
        </w:tc>
        <w:tc>
          <w:tcPr>
            <w:tcW w:w="568" w:type="dxa"/>
            <w:noWrap/>
          </w:tcPr>
          <w:p w14:paraId="2F19898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01BCD10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43AB2DF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Предназначены для использования в емкостях объемом не более 2,5 литра. </w:t>
            </w:r>
          </w:p>
          <w:p w14:paraId="190E45D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Активный компонент каждого пакетика - аскорбиновая кислота. Вещество пакетика быстро поглощает находящийся в составе воздушной смеси кислород с выделением углекислого газа. Во время реакции не происходит выделения водорода, вследствие чего отсутствует необходимость в катализаторе. Для начала реакции не требуется вода. Содержание кислорода составляет &lt;1%          </w:t>
            </w:r>
          </w:p>
          <w:p w14:paraId="5399A73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Фасовка: не более 10 бумажных пакетиков, каждый из которых упакован в фольгу, 1 листок-вкладыш                 </w:t>
            </w:r>
          </w:p>
          <w:p w14:paraId="48B1A51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хранения: 2-25°C.                 </w:t>
            </w:r>
          </w:p>
          <w:p w14:paraId="6217BD6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Минимальный гарантированный срок годности: 8 месяцев</w:t>
            </w:r>
          </w:p>
        </w:tc>
      </w:tr>
      <w:tr w:rsidR="00D94B7E" w:rsidRPr="00D94B7E" w14:paraId="2E812699" w14:textId="77777777" w:rsidTr="00D94B7E">
        <w:trPr>
          <w:trHeight w:val="672"/>
        </w:trPr>
        <w:tc>
          <w:tcPr>
            <w:tcW w:w="597" w:type="dxa"/>
            <w:noWrap/>
          </w:tcPr>
          <w:p w14:paraId="2D2D3E0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14:paraId="3BB2888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20.59.52.199</w:t>
            </w:r>
          </w:p>
        </w:tc>
        <w:tc>
          <w:tcPr>
            <w:tcW w:w="851" w:type="dxa"/>
          </w:tcPr>
          <w:p w14:paraId="4B2BD2D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BR0055B</w:t>
            </w:r>
          </w:p>
        </w:tc>
        <w:tc>
          <w:tcPr>
            <w:tcW w:w="2522" w:type="dxa"/>
          </w:tcPr>
          <w:p w14:paraId="6B45813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Анаэробный индикатор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резазурин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), 100 полосок</w:t>
            </w:r>
          </w:p>
        </w:tc>
        <w:tc>
          <w:tcPr>
            <w:tcW w:w="568" w:type="dxa"/>
            <w:noWrap/>
          </w:tcPr>
          <w:p w14:paraId="647AEA6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5A7F5FF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639050F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Используется для визуального контроля за достижением и поддержанием в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анаэростате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анаэробных условий.                                                                          </w:t>
            </w:r>
          </w:p>
          <w:p w14:paraId="327E878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Cостоит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хлопковой полоски с нанесенным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окислительно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-восстановительным индикаторным раствором, заключенной в ламинированную упаковку из фольги.</w:t>
            </w:r>
          </w:p>
          <w:p w14:paraId="3B21BBD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Особенности:</w:t>
            </w:r>
          </w:p>
          <w:p w14:paraId="18307F6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 изменение цвета от красного к белому:</w:t>
            </w:r>
          </w:p>
          <w:p w14:paraId="17953B4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 улучшенная чувствительность для обнаружения низкого уровнях кислорода;</w:t>
            </w:r>
          </w:p>
          <w:p w14:paraId="53102C5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хранения:  комнатная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температура.</w:t>
            </w:r>
          </w:p>
        </w:tc>
      </w:tr>
      <w:tr w:rsidR="00D94B7E" w:rsidRPr="00D94B7E" w14:paraId="01952387" w14:textId="77777777" w:rsidTr="00D94B7E">
        <w:trPr>
          <w:trHeight w:val="672"/>
        </w:trPr>
        <w:tc>
          <w:tcPr>
            <w:tcW w:w="597" w:type="dxa"/>
            <w:noWrap/>
          </w:tcPr>
          <w:p w14:paraId="2BB2892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7B43B71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6FD4C49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66228                    </w:t>
            </w:r>
          </w:p>
        </w:tc>
        <w:tc>
          <w:tcPr>
            <w:tcW w:w="2522" w:type="dxa"/>
          </w:tcPr>
          <w:p w14:paraId="5087258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Цефокситин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Cefoxitin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30 мкг, 200 дисков</w:t>
            </w:r>
          </w:p>
        </w:tc>
        <w:tc>
          <w:tcPr>
            <w:tcW w:w="568" w:type="dxa"/>
            <w:noWrap/>
          </w:tcPr>
          <w:p w14:paraId="6BB7A74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</w:tcPr>
          <w:p w14:paraId="7F9A071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530F008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цефокситином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30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FOX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0234E101" w14:textId="77777777" w:rsidTr="00D94B7E">
        <w:trPr>
          <w:trHeight w:val="672"/>
        </w:trPr>
        <w:tc>
          <w:tcPr>
            <w:tcW w:w="597" w:type="dxa"/>
            <w:noWrap/>
          </w:tcPr>
          <w:p w14:paraId="5180A0A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E9FD96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6563DBD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67828</w:t>
            </w:r>
          </w:p>
        </w:tc>
        <w:tc>
          <w:tcPr>
            <w:tcW w:w="2522" w:type="dxa"/>
          </w:tcPr>
          <w:p w14:paraId="42F6CE3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Ванкомицин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мкг, 200 дисков</w:t>
            </w:r>
          </w:p>
        </w:tc>
        <w:tc>
          <w:tcPr>
            <w:tcW w:w="568" w:type="dxa"/>
            <w:noWrap/>
          </w:tcPr>
          <w:p w14:paraId="11528D9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</w:tcPr>
          <w:p w14:paraId="270DCF3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57D42FA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цванкомицином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5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VAN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36001D66" w14:textId="77777777" w:rsidTr="00D94B7E">
        <w:trPr>
          <w:trHeight w:val="699"/>
        </w:trPr>
        <w:tc>
          <w:tcPr>
            <w:tcW w:w="597" w:type="dxa"/>
            <w:noWrap/>
          </w:tcPr>
          <w:p w14:paraId="41A893D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B3C8CF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5CF8420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66858                    </w:t>
            </w:r>
          </w:p>
        </w:tc>
        <w:tc>
          <w:tcPr>
            <w:tcW w:w="2522" w:type="dxa"/>
          </w:tcPr>
          <w:p w14:paraId="3B0B15F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Левофлоксацин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Levofloxacin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5 мкг, 200 дисков</w:t>
            </w:r>
          </w:p>
        </w:tc>
        <w:tc>
          <w:tcPr>
            <w:tcW w:w="568" w:type="dxa"/>
            <w:noWrap/>
          </w:tcPr>
          <w:p w14:paraId="33574AE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14:paraId="36E1380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792FB35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левофлоксацином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5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LEV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2347394F" w14:textId="77777777" w:rsidTr="00D94B7E">
        <w:trPr>
          <w:trHeight w:val="1080"/>
        </w:trPr>
        <w:tc>
          <w:tcPr>
            <w:tcW w:w="597" w:type="dxa"/>
            <w:noWrap/>
          </w:tcPr>
          <w:p w14:paraId="3D74913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BF3EFE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1847539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66098                    </w:t>
            </w:r>
          </w:p>
        </w:tc>
        <w:tc>
          <w:tcPr>
            <w:tcW w:w="2522" w:type="dxa"/>
          </w:tcPr>
          <w:p w14:paraId="035EF6E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Цефепим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Cefepime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30 мкг,200 дисков</w:t>
            </w:r>
          </w:p>
        </w:tc>
        <w:tc>
          <w:tcPr>
            <w:tcW w:w="568" w:type="dxa"/>
            <w:noWrap/>
          </w:tcPr>
          <w:p w14:paraId="6D32484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</w:tcPr>
          <w:p w14:paraId="3D0C395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18FFAAC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цефепимом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30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FEP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21274A3C" w14:textId="77777777" w:rsidTr="00D94B7E">
        <w:trPr>
          <w:trHeight w:val="1080"/>
        </w:trPr>
        <w:tc>
          <w:tcPr>
            <w:tcW w:w="597" w:type="dxa"/>
            <w:noWrap/>
          </w:tcPr>
          <w:p w14:paraId="7E6E5B3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</w:tcPr>
          <w:p w14:paraId="6AAD82A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1D7A135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67048                    </w:t>
            </w:r>
          </w:p>
        </w:tc>
        <w:tc>
          <w:tcPr>
            <w:tcW w:w="2522" w:type="dxa"/>
          </w:tcPr>
          <w:p w14:paraId="6F43CB5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Меропенем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Meropenem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10 мкг, 200 дисков</w:t>
            </w:r>
          </w:p>
        </w:tc>
        <w:tc>
          <w:tcPr>
            <w:tcW w:w="568" w:type="dxa"/>
            <w:noWrap/>
          </w:tcPr>
          <w:p w14:paraId="16DBA17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</w:tcPr>
          <w:p w14:paraId="02CD3CC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16A05D4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меропенемом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МЕМ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2CE05600" w14:textId="77777777" w:rsidTr="00D94B7E">
        <w:trPr>
          <w:trHeight w:val="1080"/>
        </w:trPr>
        <w:tc>
          <w:tcPr>
            <w:tcW w:w="597" w:type="dxa"/>
            <w:noWrap/>
          </w:tcPr>
          <w:p w14:paraId="7B57975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6A54EF1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576632E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66608</w:t>
            </w:r>
          </w:p>
        </w:tc>
        <w:tc>
          <w:tcPr>
            <w:tcW w:w="2522" w:type="dxa"/>
          </w:tcPr>
          <w:p w14:paraId="06BCB6E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Диск Гентамицин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Gentamycin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10 мкг, 200 дисков</w:t>
            </w:r>
          </w:p>
        </w:tc>
        <w:tc>
          <w:tcPr>
            <w:tcW w:w="568" w:type="dxa"/>
            <w:noWrap/>
          </w:tcPr>
          <w:p w14:paraId="10C222C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</w:tcPr>
          <w:p w14:paraId="02BCD1C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20C7D26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гентамицином для определения чувствительности микроорганизмов к антибиотикам. Нагрузка диска 10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Маркировка 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55C56CE1" w14:textId="77777777" w:rsidTr="00D94B7E">
        <w:trPr>
          <w:trHeight w:val="1080"/>
        </w:trPr>
        <w:tc>
          <w:tcPr>
            <w:tcW w:w="597" w:type="dxa"/>
            <w:noWrap/>
          </w:tcPr>
          <w:p w14:paraId="3550038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59A467D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132FE75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67318</w:t>
            </w:r>
          </w:p>
        </w:tc>
        <w:tc>
          <w:tcPr>
            <w:tcW w:w="2522" w:type="dxa"/>
          </w:tcPr>
          <w:p w14:paraId="2FC9C3D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Диски с Гентамицином 30 мкг (200 дисков)</w:t>
            </w:r>
          </w:p>
        </w:tc>
        <w:tc>
          <w:tcPr>
            <w:tcW w:w="568" w:type="dxa"/>
            <w:noWrap/>
          </w:tcPr>
          <w:p w14:paraId="6A6B493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</w:tcPr>
          <w:p w14:paraId="30E5176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5FBFA26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гентамицином для определения чувствительности микроорганизмов к антибиотикам. Нагрузка диска 30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Маркировка 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2A17C105" w14:textId="77777777" w:rsidTr="00D94B7E">
        <w:trPr>
          <w:trHeight w:val="1080"/>
        </w:trPr>
        <w:tc>
          <w:tcPr>
            <w:tcW w:w="597" w:type="dxa"/>
            <w:noWrap/>
          </w:tcPr>
          <w:p w14:paraId="11EEE76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15312BD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1A6AEE5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68648</w:t>
            </w:r>
          </w:p>
        </w:tc>
        <w:tc>
          <w:tcPr>
            <w:tcW w:w="2522" w:type="dxa"/>
          </w:tcPr>
          <w:p w14:paraId="1346F57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Ципрофлоксацин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Ceprofloxacine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5 мкг, 200 дисков</w:t>
            </w:r>
          </w:p>
        </w:tc>
        <w:tc>
          <w:tcPr>
            <w:tcW w:w="568" w:type="dxa"/>
            <w:noWrap/>
          </w:tcPr>
          <w:p w14:paraId="2442EED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noWrap/>
          </w:tcPr>
          <w:p w14:paraId="36D121B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100850F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ципрофлоксацином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5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CIP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4B653384" w14:textId="77777777" w:rsidTr="00D94B7E">
        <w:trPr>
          <w:trHeight w:val="281"/>
        </w:trPr>
        <w:tc>
          <w:tcPr>
            <w:tcW w:w="597" w:type="dxa"/>
            <w:noWrap/>
          </w:tcPr>
          <w:p w14:paraId="6C549EC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14:paraId="055B25F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14CC0BB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66568</w:t>
            </w:r>
          </w:p>
        </w:tc>
        <w:tc>
          <w:tcPr>
            <w:tcW w:w="2522" w:type="dxa"/>
          </w:tcPr>
          <w:p w14:paraId="72EAFC1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Имипенем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Imipeneme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10 мкг, 200 дисков</w:t>
            </w:r>
          </w:p>
        </w:tc>
        <w:tc>
          <w:tcPr>
            <w:tcW w:w="568" w:type="dxa"/>
            <w:noWrap/>
          </w:tcPr>
          <w:p w14:paraId="3BD5110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</w:tcPr>
          <w:p w14:paraId="77FB5FA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0191A4A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имипенем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IPM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67CB0BEA" w14:textId="77777777" w:rsidTr="00D94B7E">
        <w:trPr>
          <w:trHeight w:val="1080"/>
        </w:trPr>
        <w:tc>
          <w:tcPr>
            <w:tcW w:w="597" w:type="dxa"/>
            <w:noWrap/>
          </w:tcPr>
          <w:p w14:paraId="04761AE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41F408C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4A02B9B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67298</w:t>
            </w:r>
          </w:p>
        </w:tc>
        <w:tc>
          <w:tcPr>
            <w:tcW w:w="2522" w:type="dxa"/>
          </w:tcPr>
          <w:p w14:paraId="659AF35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Цефтазидим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мкг, 200 дисков</w:t>
            </w:r>
          </w:p>
        </w:tc>
        <w:tc>
          <w:tcPr>
            <w:tcW w:w="568" w:type="dxa"/>
            <w:noWrap/>
          </w:tcPr>
          <w:p w14:paraId="0475953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noWrap/>
          </w:tcPr>
          <w:p w14:paraId="2DE92AB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6518142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цефтазидим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CAZ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6B0C11A4" w14:textId="77777777" w:rsidTr="00D94B7E">
        <w:trPr>
          <w:trHeight w:val="1080"/>
        </w:trPr>
        <w:tc>
          <w:tcPr>
            <w:tcW w:w="597" w:type="dxa"/>
            <w:noWrap/>
          </w:tcPr>
          <w:p w14:paraId="7394FCB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35B05AE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499C99D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68898</w:t>
            </w:r>
          </w:p>
        </w:tc>
        <w:tc>
          <w:tcPr>
            <w:tcW w:w="2522" w:type="dxa"/>
          </w:tcPr>
          <w:p w14:paraId="17C707A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Триметаприм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1.25 мкг +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Сульфаметоксазол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23.75 мкг, 200 дисков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Trimethoprim+Sulfomethoxazole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8" w:type="dxa"/>
            <w:noWrap/>
          </w:tcPr>
          <w:p w14:paraId="497E5CA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noWrap/>
          </w:tcPr>
          <w:p w14:paraId="0FB44BB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12CA041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триметапримом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сульфаметоксазолом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1.25 и 23.75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SXT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77835243" w14:textId="77777777" w:rsidTr="00D94B7E">
        <w:trPr>
          <w:trHeight w:val="1080"/>
        </w:trPr>
        <w:tc>
          <w:tcPr>
            <w:tcW w:w="597" w:type="dxa"/>
            <w:noWrap/>
          </w:tcPr>
          <w:p w14:paraId="490DA34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2B3CFD5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5DD078D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66178</w:t>
            </w:r>
          </w:p>
        </w:tc>
        <w:tc>
          <w:tcPr>
            <w:tcW w:w="2522" w:type="dxa"/>
          </w:tcPr>
          <w:p w14:paraId="21B9398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Амоксициллин+Клавулановая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кислота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Amoxicillin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Clavulanic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acid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20 мкг+10 мкг, 200 дисков</w:t>
            </w:r>
          </w:p>
        </w:tc>
        <w:tc>
          <w:tcPr>
            <w:tcW w:w="568" w:type="dxa"/>
            <w:noWrap/>
          </w:tcPr>
          <w:p w14:paraId="59E002C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</w:tcPr>
          <w:p w14:paraId="01D82C6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5D2BE1D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амоксициллином 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клавуланатом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20 и 10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AMC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31B98A95" w14:textId="77777777" w:rsidTr="00D94B7E">
        <w:trPr>
          <w:trHeight w:val="1080"/>
        </w:trPr>
        <w:tc>
          <w:tcPr>
            <w:tcW w:w="597" w:type="dxa"/>
            <w:noWrap/>
          </w:tcPr>
          <w:p w14:paraId="03F7D9C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</w:tcPr>
          <w:p w14:paraId="566AE13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5D4DE13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67878</w:t>
            </w:r>
          </w:p>
        </w:tc>
        <w:tc>
          <w:tcPr>
            <w:tcW w:w="2522" w:type="dxa"/>
          </w:tcPr>
          <w:p w14:paraId="0FC6526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Линезолид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мкг, 200 дисков</w:t>
            </w:r>
          </w:p>
        </w:tc>
        <w:tc>
          <w:tcPr>
            <w:tcW w:w="568" w:type="dxa"/>
            <w:noWrap/>
          </w:tcPr>
          <w:p w14:paraId="4653F53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1DF2F08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0C01878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линезолидом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10 мкг. Диаметр диска 6,35 мм. Маркировка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LDZ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</w:p>
        </w:tc>
      </w:tr>
      <w:tr w:rsidR="00D94B7E" w:rsidRPr="00D94B7E" w14:paraId="5EAEC1AA" w14:textId="77777777" w:rsidTr="00D94B7E">
        <w:trPr>
          <w:trHeight w:val="1080"/>
        </w:trPr>
        <w:tc>
          <w:tcPr>
            <w:tcW w:w="597" w:type="dxa"/>
            <w:noWrap/>
          </w:tcPr>
          <w:p w14:paraId="36063A9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280373A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27778BC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67788 </w:t>
            </w:r>
          </w:p>
        </w:tc>
        <w:tc>
          <w:tcPr>
            <w:tcW w:w="2522" w:type="dxa"/>
          </w:tcPr>
          <w:p w14:paraId="303941A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бензилпенициллин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МЕ, (4х50)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/1уп</w:t>
            </w:r>
          </w:p>
        </w:tc>
        <w:tc>
          <w:tcPr>
            <w:tcW w:w="568" w:type="dxa"/>
            <w:noWrap/>
          </w:tcPr>
          <w:p w14:paraId="1F989C0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3CA5A14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98" w:type="dxa"/>
          </w:tcPr>
          <w:p w14:paraId="39286B7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пенициллином для определения чувствительности микроорганизмов к антибиотикам. Нагрузка диска 1 МЕ.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Маркировка 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PNC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5709D3AD" w14:textId="77777777" w:rsidTr="00D94B7E">
        <w:trPr>
          <w:trHeight w:val="1080"/>
        </w:trPr>
        <w:tc>
          <w:tcPr>
            <w:tcW w:w="597" w:type="dxa"/>
            <w:noWrap/>
          </w:tcPr>
          <w:p w14:paraId="71487B0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04A3FD4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223868E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66328</w:t>
            </w:r>
          </w:p>
        </w:tc>
        <w:tc>
          <w:tcPr>
            <w:tcW w:w="2522" w:type="dxa"/>
          </w:tcPr>
          <w:p w14:paraId="691C62A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Клиндамицин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Clindamycin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2 мкг, 200 дисков</w:t>
            </w:r>
          </w:p>
        </w:tc>
        <w:tc>
          <w:tcPr>
            <w:tcW w:w="568" w:type="dxa"/>
            <w:noWrap/>
          </w:tcPr>
          <w:p w14:paraId="010124C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</w:tcPr>
          <w:p w14:paraId="23ED32D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5DC4840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клиндамицином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2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DA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5B8F9EB0" w14:textId="77777777" w:rsidTr="00D94B7E">
        <w:trPr>
          <w:trHeight w:val="834"/>
        </w:trPr>
        <w:tc>
          <w:tcPr>
            <w:tcW w:w="597" w:type="dxa"/>
            <w:noWrap/>
          </w:tcPr>
          <w:p w14:paraId="2F0A6ED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3E49E8A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346FD06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67328</w:t>
            </w:r>
          </w:p>
        </w:tc>
        <w:tc>
          <w:tcPr>
            <w:tcW w:w="2522" w:type="dxa"/>
          </w:tcPr>
          <w:p w14:paraId="409B931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Нитрофурантоин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 мкг, 200 дисков</w:t>
            </w:r>
          </w:p>
        </w:tc>
        <w:tc>
          <w:tcPr>
            <w:tcW w:w="568" w:type="dxa"/>
            <w:noWrap/>
          </w:tcPr>
          <w:p w14:paraId="2B6649E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</w:tcPr>
          <w:p w14:paraId="0E2EAC8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2F9E00C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нитрофурантоином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100 мкг. Диаметр диска 6,35 мм.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5229C4D0" w14:textId="77777777" w:rsidTr="00D94B7E">
        <w:trPr>
          <w:trHeight w:val="1080"/>
        </w:trPr>
        <w:tc>
          <w:tcPr>
            <w:tcW w:w="597" w:type="dxa"/>
            <w:noWrap/>
          </w:tcPr>
          <w:p w14:paraId="2FC7B71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</w:tcPr>
          <w:p w14:paraId="1BC75EB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4A8A8F1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67518</w:t>
            </w:r>
          </w:p>
        </w:tc>
        <w:tc>
          <w:tcPr>
            <w:tcW w:w="2522" w:type="dxa"/>
          </w:tcPr>
          <w:p w14:paraId="40A1418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Эртапенем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Ertapenem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10 мкг, 200 дисков</w:t>
            </w:r>
          </w:p>
        </w:tc>
        <w:tc>
          <w:tcPr>
            <w:tcW w:w="568" w:type="dxa"/>
            <w:noWrap/>
          </w:tcPr>
          <w:p w14:paraId="055C74E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</w:tcPr>
          <w:p w14:paraId="46FE4C2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24BBC2B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эртапенемом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10 мкг. Диаметр диска 6,35 мм. Маркировка ETP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316697A6" w14:textId="77777777" w:rsidTr="00D94B7E">
        <w:trPr>
          <w:trHeight w:val="1080"/>
        </w:trPr>
        <w:tc>
          <w:tcPr>
            <w:tcW w:w="597" w:type="dxa"/>
            <w:noWrap/>
          </w:tcPr>
          <w:p w14:paraId="277053B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1B47E8B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30B6D95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67398</w:t>
            </w:r>
          </w:p>
        </w:tc>
        <w:tc>
          <w:tcPr>
            <w:tcW w:w="2522" w:type="dxa"/>
          </w:tcPr>
          <w:p w14:paraId="71BDC9C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Тайгециклин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Tigecycline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15 мкг, 200 дисков</w:t>
            </w:r>
          </w:p>
        </w:tc>
        <w:tc>
          <w:tcPr>
            <w:tcW w:w="568" w:type="dxa"/>
            <w:noWrap/>
          </w:tcPr>
          <w:p w14:paraId="18F2E74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39A079A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5C68894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тайгециклином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15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TGC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3C70CD9C" w14:textId="77777777" w:rsidTr="00D94B7E">
        <w:trPr>
          <w:trHeight w:val="1080"/>
        </w:trPr>
        <w:tc>
          <w:tcPr>
            <w:tcW w:w="597" w:type="dxa"/>
            <w:noWrap/>
          </w:tcPr>
          <w:p w14:paraId="47D479A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3D4B8D9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16832A0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66448                    </w:t>
            </w:r>
          </w:p>
        </w:tc>
        <w:tc>
          <w:tcPr>
            <w:tcW w:w="2522" w:type="dxa"/>
          </w:tcPr>
          <w:p w14:paraId="40F112E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Диск Эритромицин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Erithromycin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15 мкг, 200 дисков</w:t>
            </w:r>
          </w:p>
        </w:tc>
        <w:tc>
          <w:tcPr>
            <w:tcW w:w="568" w:type="dxa"/>
            <w:noWrap/>
          </w:tcPr>
          <w:p w14:paraId="7B6F347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</w:tcPr>
          <w:p w14:paraId="743D499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6E3D303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эритромицином для определения чувствительности микроорганизмов к антибиотикам. Нагрузка диска 15 мкг. Диаметр диска 6,35 мм.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47624190" w14:textId="77777777" w:rsidTr="00D94B7E">
        <w:trPr>
          <w:trHeight w:val="1080"/>
        </w:trPr>
        <w:tc>
          <w:tcPr>
            <w:tcW w:w="597" w:type="dxa"/>
            <w:noWrap/>
          </w:tcPr>
          <w:p w14:paraId="4E8CA2B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044B973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62F58E3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66128</w:t>
            </w:r>
          </w:p>
        </w:tc>
        <w:tc>
          <w:tcPr>
            <w:tcW w:w="2522" w:type="dxa"/>
          </w:tcPr>
          <w:p w14:paraId="015DE7B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Диск Ампициллин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Ampicillin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)10 мкг, 200 дисков</w:t>
            </w:r>
          </w:p>
        </w:tc>
        <w:tc>
          <w:tcPr>
            <w:tcW w:w="568" w:type="dxa"/>
            <w:noWrap/>
          </w:tcPr>
          <w:p w14:paraId="0A901EF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</w:tcPr>
          <w:p w14:paraId="5601CE3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1E51E8F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Ампициллином для определения чувствительности микроорганизмов к антибиотикам. Нагрузка диска 10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AMP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209B0A74" w14:textId="77777777" w:rsidTr="00D94B7E">
        <w:trPr>
          <w:trHeight w:val="1080"/>
        </w:trPr>
        <w:tc>
          <w:tcPr>
            <w:tcW w:w="597" w:type="dxa"/>
            <w:noWrap/>
          </w:tcPr>
          <w:p w14:paraId="1F7A0D4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285B253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4BAFAE6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67718</w:t>
            </w:r>
          </w:p>
        </w:tc>
        <w:tc>
          <w:tcPr>
            <w:tcW w:w="2522" w:type="dxa"/>
          </w:tcPr>
          <w:p w14:paraId="2DC3B10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Цефотаксим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мкг, 200 дисков</w:t>
            </w:r>
          </w:p>
        </w:tc>
        <w:tc>
          <w:tcPr>
            <w:tcW w:w="568" w:type="dxa"/>
            <w:noWrap/>
          </w:tcPr>
          <w:p w14:paraId="476BA8D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noWrap/>
          </w:tcPr>
          <w:p w14:paraId="083A3D7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3D55D36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цефотаксимом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5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CTX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1ACBA8F5" w14:textId="77777777" w:rsidTr="00D94B7E">
        <w:trPr>
          <w:trHeight w:val="139"/>
        </w:trPr>
        <w:tc>
          <w:tcPr>
            <w:tcW w:w="597" w:type="dxa"/>
            <w:noWrap/>
          </w:tcPr>
          <w:p w14:paraId="76ECD24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</w:tcPr>
          <w:p w14:paraId="764C4C0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680D9F2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66148</w:t>
            </w:r>
          </w:p>
        </w:tc>
        <w:tc>
          <w:tcPr>
            <w:tcW w:w="2522" w:type="dxa"/>
          </w:tcPr>
          <w:p w14:paraId="6D9F89A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Амикацин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 мкг, 200 дисков</w:t>
            </w:r>
          </w:p>
        </w:tc>
        <w:tc>
          <w:tcPr>
            <w:tcW w:w="568" w:type="dxa"/>
            <w:noWrap/>
          </w:tcPr>
          <w:p w14:paraId="1C71FBB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</w:tcPr>
          <w:p w14:paraId="5BD20F6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24A64C5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амикацином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30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AK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5139671E" w14:textId="77777777" w:rsidTr="00D94B7E">
        <w:trPr>
          <w:trHeight w:val="1080"/>
        </w:trPr>
        <w:tc>
          <w:tcPr>
            <w:tcW w:w="597" w:type="dxa"/>
            <w:noWrap/>
          </w:tcPr>
          <w:p w14:paraId="121D827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1121EED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5DD3592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66338</w:t>
            </w:r>
          </w:p>
        </w:tc>
        <w:tc>
          <w:tcPr>
            <w:tcW w:w="2522" w:type="dxa"/>
          </w:tcPr>
          <w:p w14:paraId="10104B3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Норфлоксацин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Norfloxacin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10 мкг, 200 дисков</w:t>
            </w:r>
          </w:p>
        </w:tc>
        <w:tc>
          <w:tcPr>
            <w:tcW w:w="568" w:type="dxa"/>
            <w:noWrap/>
          </w:tcPr>
          <w:p w14:paraId="5C2173B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</w:tcPr>
          <w:p w14:paraId="0A60EFF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43E2072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норфлоксацином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NOR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32AA9251" w14:textId="77777777" w:rsidTr="00D94B7E">
        <w:trPr>
          <w:trHeight w:val="1080"/>
        </w:trPr>
        <w:tc>
          <w:tcPr>
            <w:tcW w:w="597" w:type="dxa"/>
            <w:noWrap/>
          </w:tcPr>
          <w:p w14:paraId="2235BEB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02E2640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42230E9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66188</w:t>
            </w:r>
          </w:p>
        </w:tc>
        <w:tc>
          <w:tcPr>
            <w:tcW w:w="2522" w:type="dxa"/>
          </w:tcPr>
          <w:p w14:paraId="55F3B8B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Цефтриаксон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Ceftriaxone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30 мкг, 200 дисков</w:t>
            </w:r>
          </w:p>
        </w:tc>
        <w:tc>
          <w:tcPr>
            <w:tcW w:w="568" w:type="dxa"/>
            <w:noWrap/>
          </w:tcPr>
          <w:p w14:paraId="0201E04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</w:tcPr>
          <w:p w14:paraId="1D05EC8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075067C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цефтриаксоном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30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CRO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6BF09C4E" w14:textId="77777777" w:rsidTr="00D94B7E">
        <w:trPr>
          <w:trHeight w:val="1080"/>
        </w:trPr>
        <w:tc>
          <w:tcPr>
            <w:tcW w:w="597" w:type="dxa"/>
            <w:noWrap/>
          </w:tcPr>
          <w:p w14:paraId="54BBF06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4902D4D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0CAB4C9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66888                    </w:t>
            </w:r>
          </w:p>
        </w:tc>
        <w:tc>
          <w:tcPr>
            <w:tcW w:w="2522" w:type="dxa"/>
          </w:tcPr>
          <w:p w14:paraId="22A6F21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Диск Оксациллин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Oxacillin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 мкг, 200 дисков</w:t>
            </w:r>
          </w:p>
        </w:tc>
        <w:tc>
          <w:tcPr>
            <w:tcW w:w="568" w:type="dxa"/>
            <w:noWrap/>
          </w:tcPr>
          <w:p w14:paraId="79A201A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5726E87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0AB20ED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оксациллином для определения чувствительности микроорганизмов к антибиотикам. Нагрузка диска 1 мкг.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OX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698FBFAC" w14:textId="77777777" w:rsidTr="00D94B7E">
        <w:trPr>
          <w:trHeight w:val="551"/>
        </w:trPr>
        <w:tc>
          <w:tcPr>
            <w:tcW w:w="597" w:type="dxa"/>
            <w:noWrap/>
          </w:tcPr>
          <w:p w14:paraId="08A957B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</w:tcPr>
          <w:p w14:paraId="6397F42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577E7E1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67448</w:t>
            </w:r>
          </w:p>
        </w:tc>
        <w:tc>
          <w:tcPr>
            <w:tcW w:w="2522" w:type="dxa"/>
          </w:tcPr>
          <w:p w14:paraId="2AB8373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Диск Тетрациклин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Tetracyclin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30 ME, 200 дисков</w:t>
            </w:r>
          </w:p>
        </w:tc>
        <w:tc>
          <w:tcPr>
            <w:tcW w:w="568" w:type="dxa"/>
            <w:noWrap/>
          </w:tcPr>
          <w:p w14:paraId="782AD9F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14:paraId="1EF8161F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2E756AD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тетрациклином для определения чувствительности микроорганизмов к антибиотикам. Нагрузка диска 30 МЕ. Диаметр диска 6,35 мм. </w:t>
            </w: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Маркировка  ТЕ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6FE2F65E" w14:textId="77777777" w:rsidTr="00D94B7E">
        <w:trPr>
          <w:trHeight w:val="1080"/>
        </w:trPr>
        <w:tc>
          <w:tcPr>
            <w:tcW w:w="597" w:type="dxa"/>
            <w:noWrap/>
          </w:tcPr>
          <w:p w14:paraId="4AB90AF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37E68BA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2287A0E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67338</w:t>
            </w:r>
          </w:p>
        </w:tc>
        <w:tc>
          <w:tcPr>
            <w:tcW w:w="2522" w:type="dxa"/>
          </w:tcPr>
          <w:p w14:paraId="483418E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Пиперациллин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 мкг+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Тазобактам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мкг, 200 дисков</w:t>
            </w:r>
          </w:p>
        </w:tc>
        <w:tc>
          <w:tcPr>
            <w:tcW w:w="568" w:type="dxa"/>
            <w:noWrap/>
          </w:tcPr>
          <w:p w14:paraId="11AC3A1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</w:tcPr>
          <w:p w14:paraId="173DA54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32FB5B1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пиперациллином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тазобактамом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30 и 6 мкг. Диаметр диска 6,35 мм. Маркировка PTZ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6C601079" w14:textId="77777777" w:rsidTr="00D94B7E">
        <w:trPr>
          <w:trHeight w:val="1080"/>
        </w:trPr>
        <w:tc>
          <w:tcPr>
            <w:tcW w:w="597" w:type="dxa"/>
            <w:noWrap/>
          </w:tcPr>
          <w:p w14:paraId="7112730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6BD2B4C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0D6DC77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67488</w:t>
            </w:r>
          </w:p>
        </w:tc>
        <w:tc>
          <w:tcPr>
            <w:tcW w:w="2522" w:type="dxa"/>
          </w:tcPr>
          <w:p w14:paraId="4789778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Тобрамицин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Tobramycin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10 мкг, 200 дисков</w:t>
            </w:r>
          </w:p>
        </w:tc>
        <w:tc>
          <w:tcPr>
            <w:tcW w:w="568" w:type="dxa"/>
            <w:noWrap/>
          </w:tcPr>
          <w:p w14:paraId="7FBBF77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</w:tcPr>
          <w:p w14:paraId="6912A17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0AC96CD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тобрамицином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10 мкг. Диаметр диска 6,35 мм. Маркировка TС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4E34929F" w14:textId="77777777" w:rsidTr="00D94B7E">
        <w:trPr>
          <w:trHeight w:val="1080"/>
        </w:trPr>
        <w:tc>
          <w:tcPr>
            <w:tcW w:w="597" w:type="dxa"/>
            <w:noWrap/>
          </w:tcPr>
          <w:p w14:paraId="3C64D28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02EDD73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7966461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67288</w:t>
            </w:r>
          </w:p>
        </w:tc>
        <w:tc>
          <w:tcPr>
            <w:tcW w:w="2522" w:type="dxa"/>
          </w:tcPr>
          <w:p w14:paraId="639B32B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Диск Ампициллин 2 мкг, 200 дисков</w:t>
            </w:r>
          </w:p>
        </w:tc>
        <w:tc>
          <w:tcPr>
            <w:tcW w:w="568" w:type="dxa"/>
            <w:noWrap/>
          </w:tcPr>
          <w:p w14:paraId="53F5E2A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</w:tcPr>
          <w:p w14:paraId="1B05461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345F7C69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Ампициллином для определения чувствительности микроорганизмов к антибиотикам. Нагрузка диска 2 мкг. Диаметр диска 6,35 мм. Маркировка AMP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58093F6D" w14:textId="77777777" w:rsidTr="00D94B7E">
        <w:trPr>
          <w:trHeight w:val="1080"/>
        </w:trPr>
        <w:tc>
          <w:tcPr>
            <w:tcW w:w="597" w:type="dxa"/>
            <w:noWrap/>
          </w:tcPr>
          <w:p w14:paraId="51E9CCB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992" w:type="dxa"/>
          </w:tcPr>
          <w:p w14:paraId="115FFC27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2A590BF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67658</w:t>
            </w:r>
          </w:p>
        </w:tc>
        <w:tc>
          <w:tcPr>
            <w:tcW w:w="2522" w:type="dxa"/>
          </w:tcPr>
          <w:p w14:paraId="352C7AC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Диски с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Фосфомицином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 мкг (200 дисков)</w:t>
            </w:r>
          </w:p>
        </w:tc>
        <w:tc>
          <w:tcPr>
            <w:tcW w:w="568" w:type="dxa"/>
            <w:noWrap/>
          </w:tcPr>
          <w:p w14:paraId="066F677C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</w:tcPr>
          <w:p w14:paraId="7AE1BA3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40B0C1D8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фосфомицином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200 мкг. Диаметр диска 6,35 мм. Маркировка 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FC</w:t>
            </w:r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5211A2F0" w14:textId="77777777" w:rsidTr="00D94B7E">
        <w:trPr>
          <w:trHeight w:val="281"/>
        </w:trPr>
        <w:tc>
          <w:tcPr>
            <w:tcW w:w="597" w:type="dxa"/>
            <w:noWrap/>
          </w:tcPr>
          <w:p w14:paraId="75D32F22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41C412D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1A13230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12008071</w:t>
            </w:r>
          </w:p>
        </w:tc>
        <w:tc>
          <w:tcPr>
            <w:tcW w:w="2522" w:type="dxa"/>
          </w:tcPr>
          <w:p w14:paraId="6B32F55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цефтазидим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авибактам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10/4 мкг (CEFTAZIDIME+AVIBACTAM 10/4ug), (4х50) шт./1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8" w:type="dxa"/>
            <w:noWrap/>
          </w:tcPr>
          <w:p w14:paraId="1CFA0C5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</w:tcPr>
          <w:p w14:paraId="3FB8B02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2B4A079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Цефтазидимом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Авибактамом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10 и 4 мкг. Диаметр диска 6,35 мм.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94B7E" w:rsidRPr="00D94B7E" w14:paraId="5C813C1E" w14:textId="77777777" w:rsidTr="00D94B7E">
        <w:trPr>
          <w:trHeight w:val="1080"/>
        </w:trPr>
        <w:tc>
          <w:tcPr>
            <w:tcW w:w="597" w:type="dxa"/>
            <w:noWrap/>
          </w:tcPr>
          <w:p w14:paraId="09A4B9C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14:paraId="0F7843BE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13CB7CD5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66278</w:t>
            </w:r>
          </w:p>
        </w:tc>
        <w:tc>
          <w:tcPr>
            <w:tcW w:w="2522" w:type="dxa"/>
          </w:tcPr>
          <w:p w14:paraId="0080C2B0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Хлорамфеникол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Chloramphenicol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) 30 мкг, 200 дисков</w:t>
            </w:r>
          </w:p>
        </w:tc>
        <w:tc>
          <w:tcPr>
            <w:tcW w:w="568" w:type="dxa"/>
            <w:noWrap/>
          </w:tcPr>
          <w:p w14:paraId="66B97C1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</w:tcPr>
          <w:p w14:paraId="74DAEB0D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0D7855D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Хлорамфениколом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30 мкг. Диаметр диска 6,35 мм.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4B7E" w:rsidRPr="00D94B7E" w14:paraId="4F775BCA" w14:textId="77777777" w:rsidTr="00D94B7E">
        <w:trPr>
          <w:trHeight w:val="1080"/>
        </w:trPr>
        <w:tc>
          <w:tcPr>
            <w:tcW w:w="597" w:type="dxa"/>
            <w:noWrap/>
          </w:tcPr>
          <w:p w14:paraId="64EC3B24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14:paraId="55A5B1AA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21.20.23.111</w:t>
            </w:r>
          </w:p>
        </w:tc>
        <w:tc>
          <w:tcPr>
            <w:tcW w:w="851" w:type="dxa"/>
          </w:tcPr>
          <w:p w14:paraId="509D9B9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66928</w:t>
            </w:r>
          </w:p>
        </w:tc>
        <w:tc>
          <w:tcPr>
            <w:tcW w:w="2522" w:type="dxa"/>
          </w:tcPr>
          <w:p w14:paraId="496647EB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Диски с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Азтреонамом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 мкг (200 дисков)</w:t>
            </w:r>
          </w:p>
        </w:tc>
        <w:tc>
          <w:tcPr>
            <w:tcW w:w="568" w:type="dxa"/>
            <w:noWrap/>
          </w:tcPr>
          <w:p w14:paraId="73E1E353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</w:tcPr>
          <w:p w14:paraId="3BDAE901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998" w:type="dxa"/>
          </w:tcPr>
          <w:p w14:paraId="58299CF6" w14:textId="77777777" w:rsidR="00D94B7E" w:rsidRPr="00D94B7E" w:rsidRDefault="00D94B7E" w:rsidP="00D94B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Диски</w:t>
            </w:r>
            <w:proofErr w:type="gram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импрегнированные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Азтреонамом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определения чувствительности микроорганизмов к антибиотикам. Нагрузка диска 30 мкг. Диаметр диска 6,35 мм.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Влагопоглотитель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силикагелевой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природы изолированный мембраной. Количество дисков в 1 картридже не менее 50. Количество картриджей в 1 упаковке не менее 4.  Совместимость с диспенсерами </w:t>
            </w:r>
            <w:proofErr w:type="spellStart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Bio-Rad</w:t>
            </w:r>
            <w:proofErr w:type="spellEnd"/>
            <w:r w:rsidRPr="00D94B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10926BB" w14:textId="77777777" w:rsidR="00D94B7E" w:rsidRPr="00D94B7E" w:rsidRDefault="00D94B7E" w:rsidP="00D94B7E">
      <w:pPr>
        <w:rPr>
          <w:rFonts w:ascii="Calibri" w:eastAsia="Calibri" w:hAnsi="Calibri" w:cs="Times New Roman"/>
        </w:rPr>
      </w:pPr>
    </w:p>
    <w:p w14:paraId="2B99A9DC" w14:textId="77777777" w:rsidR="0060479C" w:rsidRDefault="0060479C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605276C1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lastRenderedPageBreak/>
        <w:t>Поставки осуществляются в рамках заключенного договора в течение 202</w:t>
      </w:r>
      <w:r w:rsidR="0024091A">
        <w:rPr>
          <w:rFonts w:ascii="Times New Roman" w:hAnsi="Times New Roman" w:cs="Times New Roman"/>
          <w:sz w:val="24"/>
          <w:szCs w:val="24"/>
        </w:rPr>
        <w:t>5</w:t>
      </w:r>
      <w:r w:rsidRPr="000B2725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395286B3" w:rsidR="00714F98" w:rsidRPr="00E46BF8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43BB"/>
    <w:rsid w:val="0006721E"/>
    <w:rsid w:val="000719EB"/>
    <w:rsid w:val="00072CFB"/>
    <w:rsid w:val="000768FE"/>
    <w:rsid w:val="00086EBB"/>
    <w:rsid w:val="00097976"/>
    <w:rsid w:val="000B2725"/>
    <w:rsid w:val="000E15A2"/>
    <w:rsid w:val="0012237E"/>
    <w:rsid w:val="00135C1E"/>
    <w:rsid w:val="00161BEA"/>
    <w:rsid w:val="001657ED"/>
    <w:rsid w:val="001735DF"/>
    <w:rsid w:val="001A1574"/>
    <w:rsid w:val="001A3D95"/>
    <w:rsid w:val="001E350E"/>
    <w:rsid w:val="0024091A"/>
    <w:rsid w:val="002542B5"/>
    <w:rsid w:val="002646E7"/>
    <w:rsid w:val="00287214"/>
    <w:rsid w:val="002A4A3D"/>
    <w:rsid w:val="002A6232"/>
    <w:rsid w:val="002D27FA"/>
    <w:rsid w:val="002F1378"/>
    <w:rsid w:val="00345CD1"/>
    <w:rsid w:val="00355039"/>
    <w:rsid w:val="0035734C"/>
    <w:rsid w:val="003A1B87"/>
    <w:rsid w:val="003B2B61"/>
    <w:rsid w:val="003B3ABC"/>
    <w:rsid w:val="003D406E"/>
    <w:rsid w:val="003E6EB9"/>
    <w:rsid w:val="00400D99"/>
    <w:rsid w:val="004546FB"/>
    <w:rsid w:val="00493131"/>
    <w:rsid w:val="004A0E42"/>
    <w:rsid w:val="004A5C7F"/>
    <w:rsid w:val="004B4046"/>
    <w:rsid w:val="00507F38"/>
    <w:rsid w:val="00522DA1"/>
    <w:rsid w:val="00541E63"/>
    <w:rsid w:val="00594A47"/>
    <w:rsid w:val="00595C30"/>
    <w:rsid w:val="005B0096"/>
    <w:rsid w:val="005D4049"/>
    <w:rsid w:val="005E0C20"/>
    <w:rsid w:val="005E453E"/>
    <w:rsid w:val="0060479C"/>
    <w:rsid w:val="00607590"/>
    <w:rsid w:val="006361ED"/>
    <w:rsid w:val="00667F64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03D3"/>
    <w:rsid w:val="007E6A13"/>
    <w:rsid w:val="00887E6B"/>
    <w:rsid w:val="008B515C"/>
    <w:rsid w:val="008F7B5B"/>
    <w:rsid w:val="009229EC"/>
    <w:rsid w:val="00975588"/>
    <w:rsid w:val="009C67B3"/>
    <w:rsid w:val="009F2354"/>
    <w:rsid w:val="00A0512B"/>
    <w:rsid w:val="00A40814"/>
    <w:rsid w:val="00A749E8"/>
    <w:rsid w:val="00AE0C13"/>
    <w:rsid w:val="00AE1D1A"/>
    <w:rsid w:val="00AE6E19"/>
    <w:rsid w:val="00B4481F"/>
    <w:rsid w:val="00B60051"/>
    <w:rsid w:val="00B672CB"/>
    <w:rsid w:val="00B736BD"/>
    <w:rsid w:val="00B8383D"/>
    <w:rsid w:val="00B91061"/>
    <w:rsid w:val="00B93CA4"/>
    <w:rsid w:val="00B9726C"/>
    <w:rsid w:val="00BA0341"/>
    <w:rsid w:val="00BB2F49"/>
    <w:rsid w:val="00BC2342"/>
    <w:rsid w:val="00BD12A9"/>
    <w:rsid w:val="00C01852"/>
    <w:rsid w:val="00C04448"/>
    <w:rsid w:val="00C153AB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94B7E"/>
    <w:rsid w:val="00D97A49"/>
    <w:rsid w:val="00DD3F92"/>
    <w:rsid w:val="00DE05D7"/>
    <w:rsid w:val="00DF48D3"/>
    <w:rsid w:val="00DF624A"/>
    <w:rsid w:val="00E066EE"/>
    <w:rsid w:val="00E42097"/>
    <w:rsid w:val="00E46BF8"/>
    <w:rsid w:val="00E82052"/>
    <w:rsid w:val="00EA4920"/>
    <w:rsid w:val="00EC6E32"/>
    <w:rsid w:val="00ED2214"/>
    <w:rsid w:val="00F06836"/>
    <w:rsid w:val="00F16720"/>
    <w:rsid w:val="00F266E9"/>
    <w:rsid w:val="00F60864"/>
    <w:rsid w:val="00F917D4"/>
    <w:rsid w:val="00FA47B8"/>
    <w:rsid w:val="00FB05E6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29664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2024-02-07T12:27:00Z</cp:lastPrinted>
  <dcterms:created xsi:type="dcterms:W3CDTF">2025-01-10T09:53:00Z</dcterms:created>
  <dcterms:modified xsi:type="dcterms:W3CDTF">2025-01-10T09:55:00Z</dcterms:modified>
</cp:coreProperties>
</file>